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783F3" w14:textId="77777777" w:rsidR="00F26F91" w:rsidRPr="00E83C3D" w:rsidRDefault="00F26F91" w:rsidP="00F26F91">
      <w:pPr>
        <w:spacing w:after="0"/>
        <w:jc w:val="center"/>
        <w:rPr>
          <w:rFonts w:cstheme="minorHAnsi"/>
        </w:rPr>
      </w:pPr>
      <w:r w:rsidRPr="00E83C3D">
        <w:rPr>
          <w:rFonts w:cstheme="minorHAnsi"/>
        </w:rPr>
        <w:t>Replies to Queries</w:t>
      </w:r>
    </w:p>
    <w:p w14:paraId="2D0DCA2F" w14:textId="77777777" w:rsidR="00F26F91" w:rsidRPr="00E83C3D" w:rsidRDefault="00F26F91" w:rsidP="00F26F91">
      <w:pPr>
        <w:jc w:val="center"/>
        <w:rPr>
          <w:rFonts w:cstheme="minorHAnsi"/>
        </w:rPr>
      </w:pPr>
      <w:r w:rsidRPr="00E83C3D">
        <w:rPr>
          <w:rFonts w:cstheme="minorHAnsi"/>
        </w:rPr>
        <w:t>RFP # 45</w:t>
      </w:r>
    </w:p>
    <w:p w14:paraId="05123CCD" w14:textId="77777777" w:rsidR="00F26F91" w:rsidRPr="00E83C3D" w:rsidRDefault="00F26F91" w:rsidP="00F26F91">
      <w:pPr>
        <w:rPr>
          <w:rFonts w:cstheme="minorHAnsi"/>
        </w:rPr>
      </w:pPr>
    </w:p>
    <w:p w14:paraId="27B34224" w14:textId="77777777" w:rsidR="00FA67A1" w:rsidRPr="00E83C3D" w:rsidRDefault="00F26F91" w:rsidP="00F26F91">
      <w:pPr>
        <w:numPr>
          <w:ilvl w:val="0"/>
          <w:numId w:val="1"/>
        </w:numPr>
        <w:shd w:val="clear" w:color="auto" w:fill="FFFFFF"/>
        <w:spacing w:after="0" w:line="240" w:lineRule="auto"/>
        <w:ind w:left="765"/>
        <w:rPr>
          <w:rFonts w:eastAsia="Times New Roman" w:cstheme="minorHAnsi"/>
          <w:color w:val="222222"/>
        </w:rPr>
      </w:pPr>
      <w:r w:rsidRPr="00E83C3D">
        <w:rPr>
          <w:rFonts w:eastAsia="Times New Roman" w:cstheme="minorHAnsi"/>
          <w:color w:val="222222"/>
        </w:rPr>
        <w:t xml:space="preserve">Human Centric Design ‘HCD’, Payments System Directorate (Guidelines to share data through common API) &amp; GDPR (General Data Protection Regulation) are the key aspects for Digital Banking. Does the scope of RFP requires the guidelines/regulations to encompass these key aspects </w:t>
      </w:r>
    </w:p>
    <w:p w14:paraId="22FD255D" w14:textId="77777777" w:rsidR="00F26F91" w:rsidRPr="00E83C3D" w:rsidRDefault="00F26F91" w:rsidP="00FA67A1">
      <w:pPr>
        <w:shd w:val="clear" w:color="auto" w:fill="FFFFFF"/>
        <w:spacing w:after="0" w:line="240" w:lineRule="auto"/>
        <w:ind w:left="765"/>
        <w:rPr>
          <w:rFonts w:eastAsia="Times New Roman" w:cstheme="minorHAnsi"/>
          <w:color w:val="222222"/>
        </w:rPr>
      </w:pPr>
      <w:r w:rsidRPr="00E83C3D">
        <w:rPr>
          <w:rFonts w:eastAsia="Times New Roman" w:cstheme="minorHAnsi"/>
          <w:color w:val="222222"/>
          <w:highlight w:val="yellow"/>
        </w:rPr>
        <w:t>(</w:t>
      </w:r>
      <w:r w:rsidR="00FA67A1" w:rsidRPr="00E83C3D">
        <w:rPr>
          <w:rFonts w:eastAsia="Times New Roman" w:cstheme="minorHAnsi"/>
          <w:color w:val="222222"/>
          <w:highlight w:val="yellow"/>
        </w:rPr>
        <w:t>As per Scope of Work, c</w:t>
      </w:r>
      <w:r w:rsidRPr="00E83C3D">
        <w:rPr>
          <w:rFonts w:eastAsia="Times New Roman" w:cstheme="minorHAnsi"/>
          <w:color w:val="222222"/>
          <w:highlight w:val="yellow"/>
        </w:rPr>
        <w:t>omprehensive recommendations may consider PSD2 and GDPR)</w:t>
      </w:r>
    </w:p>
    <w:p w14:paraId="648F22CC" w14:textId="77777777" w:rsidR="00FA67A1" w:rsidRPr="00E83C3D" w:rsidRDefault="00F26F91" w:rsidP="00F26F91">
      <w:pPr>
        <w:numPr>
          <w:ilvl w:val="0"/>
          <w:numId w:val="1"/>
        </w:numPr>
        <w:shd w:val="clear" w:color="auto" w:fill="FFFFFF"/>
        <w:spacing w:after="0" w:line="240" w:lineRule="auto"/>
        <w:ind w:left="765"/>
        <w:rPr>
          <w:rFonts w:eastAsia="Times New Roman" w:cstheme="minorHAnsi"/>
          <w:color w:val="222222"/>
        </w:rPr>
      </w:pPr>
      <w:r w:rsidRPr="00E83C3D">
        <w:rPr>
          <w:rFonts w:eastAsia="Times New Roman" w:cstheme="minorHAnsi"/>
          <w:color w:val="222222"/>
        </w:rPr>
        <w:t xml:space="preserve">Digital Fiat Currency – Need elaboration how the Central Bank envision its encashment &amp; tender. </w:t>
      </w:r>
    </w:p>
    <w:p w14:paraId="6236C6EC" w14:textId="77777777" w:rsidR="00F26F91" w:rsidRPr="00E83C3D" w:rsidRDefault="00F26F91" w:rsidP="00FA67A1">
      <w:pPr>
        <w:shd w:val="clear" w:color="auto" w:fill="FFFFFF"/>
        <w:spacing w:after="0" w:line="240" w:lineRule="auto"/>
        <w:ind w:left="765"/>
        <w:rPr>
          <w:rFonts w:eastAsia="Times New Roman" w:cstheme="minorHAnsi"/>
          <w:color w:val="222222"/>
        </w:rPr>
      </w:pPr>
      <w:r w:rsidRPr="00E83C3D">
        <w:rPr>
          <w:rFonts w:eastAsia="Times New Roman" w:cstheme="minorHAnsi"/>
          <w:color w:val="222222"/>
          <w:highlight w:val="yellow"/>
        </w:rPr>
        <w:t>(</w:t>
      </w:r>
      <w:r w:rsidR="00FA67A1" w:rsidRPr="00E83C3D">
        <w:rPr>
          <w:rFonts w:eastAsia="Times New Roman" w:cstheme="minorHAnsi"/>
          <w:color w:val="222222"/>
          <w:highlight w:val="yellow"/>
        </w:rPr>
        <w:t xml:space="preserve">Please refer </w:t>
      </w:r>
      <w:r w:rsidR="005F4DFC" w:rsidRPr="00E83C3D">
        <w:rPr>
          <w:rFonts w:eastAsia="Times New Roman" w:cstheme="minorHAnsi"/>
          <w:color w:val="222222"/>
          <w:highlight w:val="yellow"/>
        </w:rPr>
        <w:t xml:space="preserve">to </w:t>
      </w:r>
      <w:r w:rsidR="00FA67A1" w:rsidRPr="00E83C3D">
        <w:rPr>
          <w:rFonts w:eastAsia="Times New Roman" w:cstheme="minorHAnsi"/>
          <w:color w:val="222222"/>
          <w:highlight w:val="yellow"/>
        </w:rPr>
        <w:t>Scope of Work:</w:t>
      </w:r>
      <w:r w:rsidR="00FA67A1" w:rsidRPr="00E83C3D">
        <w:rPr>
          <w:rFonts w:eastAsia="Times New Roman" w:cstheme="minorHAnsi"/>
          <w:color w:val="222222"/>
        </w:rPr>
        <w:t xml:space="preserve"> </w:t>
      </w:r>
      <w:r w:rsidR="00F21816" w:rsidRPr="00E83C3D">
        <w:rPr>
          <w:rFonts w:eastAsia="Times New Roman" w:cstheme="minorHAnsi"/>
          <w:color w:val="222222"/>
          <w:highlight w:val="yellow"/>
        </w:rPr>
        <w:t>As per Section 1.2(iv) of RFP, t</w:t>
      </w:r>
      <w:r w:rsidRPr="00E83C3D">
        <w:rPr>
          <w:rFonts w:eastAsia="Times New Roman" w:cstheme="minorHAnsi"/>
          <w:color w:val="222222"/>
          <w:highlight w:val="yellow"/>
        </w:rPr>
        <w:t>his will be the part of Comprehensive recommendations made by the Consultants</w:t>
      </w:r>
      <w:r w:rsidR="00F21816" w:rsidRPr="00E83C3D">
        <w:rPr>
          <w:rFonts w:eastAsia="Times New Roman" w:cstheme="minorHAnsi"/>
          <w:color w:val="222222"/>
          <w:highlight w:val="yellow"/>
        </w:rPr>
        <w:t>)</w:t>
      </w:r>
    </w:p>
    <w:p w14:paraId="6A7A2B44" w14:textId="77777777" w:rsidR="00FA67A1" w:rsidRPr="00E83C3D" w:rsidRDefault="00F26F91" w:rsidP="00F26F91">
      <w:pPr>
        <w:numPr>
          <w:ilvl w:val="0"/>
          <w:numId w:val="1"/>
        </w:numPr>
        <w:shd w:val="clear" w:color="auto" w:fill="FFFFFF"/>
        <w:spacing w:after="0" w:line="240" w:lineRule="auto"/>
        <w:ind w:left="765"/>
        <w:rPr>
          <w:rFonts w:eastAsia="Times New Roman" w:cstheme="minorHAnsi"/>
          <w:color w:val="222222"/>
        </w:rPr>
      </w:pPr>
      <w:r w:rsidRPr="00E83C3D">
        <w:rPr>
          <w:rFonts w:eastAsia="Times New Roman" w:cstheme="minorHAnsi"/>
          <w:color w:val="222222"/>
        </w:rPr>
        <w:t>Digital Fiat Currency – Does it require to process Digital Fiat Currency in both online &amp; offline modes or Only Online mode</w:t>
      </w:r>
      <w:r w:rsidR="00F21816" w:rsidRPr="00E83C3D">
        <w:rPr>
          <w:rFonts w:eastAsia="Times New Roman" w:cstheme="minorHAnsi"/>
          <w:color w:val="222222"/>
        </w:rPr>
        <w:t xml:space="preserve"> </w:t>
      </w:r>
    </w:p>
    <w:p w14:paraId="6BDAC03E" w14:textId="77777777" w:rsidR="00F26F91" w:rsidRPr="00E83C3D" w:rsidRDefault="00F21816" w:rsidP="00FA67A1">
      <w:pPr>
        <w:shd w:val="clear" w:color="auto" w:fill="FFFFFF"/>
        <w:spacing w:after="0" w:line="240" w:lineRule="auto"/>
        <w:ind w:left="765"/>
        <w:rPr>
          <w:rFonts w:eastAsia="Times New Roman" w:cstheme="minorHAnsi"/>
          <w:color w:val="222222"/>
        </w:rPr>
      </w:pPr>
      <w:r w:rsidRPr="00E83C3D">
        <w:rPr>
          <w:rFonts w:eastAsia="Times New Roman" w:cstheme="minorHAnsi"/>
          <w:color w:val="222222"/>
          <w:highlight w:val="yellow"/>
        </w:rPr>
        <w:t>(</w:t>
      </w:r>
      <w:r w:rsidR="00FA67A1" w:rsidRPr="00E83C3D">
        <w:rPr>
          <w:rFonts w:eastAsia="Times New Roman" w:cstheme="minorHAnsi"/>
          <w:color w:val="222222"/>
          <w:highlight w:val="yellow"/>
        </w:rPr>
        <w:t xml:space="preserve">Please refer </w:t>
      </w:r>
      <w:r w:rsidR="005F4DFC" w:rsidRPr="00E83C3D">
        <w:rPr>
          <w:rFonts w:eastAsia="Times New Roman" w:cstheme="minorHAnsi"/>
          <w:color w:val="222222"/>
          <w:highlight w:val="yellow"/>
        </w:rPr>
        <w:t xml:space="preserve">to </w:t>
      </w:r>
      <w:r w:rsidR="00FA67A1" w:rsidRPr="00E83C3D">
        <w:rPr>
          <w:rFonts w:eastAsia="Times New Roman" w:cstheme="minorHAnsi"/>
          <w:color w:val="222222"/>
          <w:highlight w:val="yellow"/>
        </w:rPr>
        <w:t xml:space="preserve">Scope of Work: </w:t>
      </w:r>
      <w:r w:rsidRPr="00E83C3D">
        <w:rPr>
          <w:rFonts w:eastAsia="Times New Roman" w:cstheme="minorHAnsi"/>
          <w:color w:val="222222"/>
          <w:highlight w:val="yellow"/>
        </w:rPr>
        <w:t>As per Section 1.2(iv) of RFP, this will be the part of Comprehensive recommendations made by the Consultants)</w:t>
      </w:r>
    </w:p>
    <w:p w14:paraId="420E03FB" w14:textId="77777777" w:rsidR="00FA67A1" w:rsidRPr="00E83C3D" w:rsidRDefault="00F26F91" w:rsidP="00F26F91">
      <w:pPr>
        <w:numPr>
          <w:ilvl w:val="0"/>
          <w:numId w:val="1"/>
        </w:numPr>
        <w:shd w:val="clear" w:color="auto" w:fill="FFFFFF"/>
        <w:spacing w:after="0" w:line="240" w:lineRule="auto"/>
        <w:ind w:left="765"/>
        <w:rPr>
          <w:rFonts w:eastAsia="Times New Roman" w:cstheme="minorHAnsi"/>
          <w:color w:val="222222"/>
        </w:rPr>
      </w:pPr>
      <w:r w:rsidRPr="00E83C3D">
        <w:rPr>
          <w:rFonts w:eastAsia="Times New Roman" w:cstheme="minorHAnsi"/>
          <w:color w:val="222222"/>
        </w:rPr>
        <w:t>Digital Banking Regulation may be inclined towards incentivizing the customer and encourage the Financial Inclusion by offering services free in most cases. In parallel, the regulations cou</w:t>
      </w:r>
      <w:bookmarkStart w:id="0" w:name="_GoBack"/>
      <w:bookmarkEnd w:id="0"/>
      <w:r w:rsidRPr="00E83C3D">
        <w:rPr>
          <w:rFonts w:eastAsia="Times New Roman" w:cstheme="minorHAnsi"/>
          <w:color w:val="222222"/>
        </w:rPr>
        <w:t xml:space="preserve">ld be to offer a commercially motivated regulations to support viable business sense of Digital Banking. What is your take on these </w:t>
      </w:r>
      <w:proofErr w:type="gramStart"/>
      <w:r w:rsidRPr="00E83C3D">
        <w:rPr>
          <w:rFonts w:eastAsia="Times New Roman" w:cstheme="minorHAnsi"/>
          <w:color w:val="222222"/>
        </w:rPr>
        <w:t>approaches.</w:t>
      </w:r>
      <w:proofErr w:type="gramEnd"/>
      <w:r w:rsidR="00F21816" w:rsidRPr="00E83C3D">
        <w:rPr>
          <w:rFonts w:eastAsia="Times New Roman" w:cstheme="minorHAnsi"/>
          <w:color w:val="222222"/>
        </w:rPr>
        <w:t xml:space="preserve"> </w:t>
      </w:r>
    </w:p>
    <w:p w14:paraId="2EBB9EF5" w14:textId="77777777" w:rsidR="00F26F91" w:rsidRPr="00E83C3D" w:rsidRDefault="00F21816" w:rsidP="00FA67A1">
      <w:pPr>
        <w:shd w:val="clear" w:color="auto" w:fill="FFFFFF"/>
        <w:spacing w:after="0" w:line="240" w:lineRule="auto"/>
        <w:ind w:left="765"/>
        <w:rPr>
          <w:rFonts w:eastAsia="Times New Roman" w:cstheme="minorHAnsi"/>
          <w:color w:val="222222"/>
        </w:rPr>
      </w:pPr>
      <w:r w:rsidRPr="00E83C3D">
        <w:rPr>
          <w:rFonts w:eastAsia="Times New Roman" w:cstheme="minorHAnsi"/>
          <w:color w:val="222222"/>
          <w:highlight w:val="yellow"/>
        </w:rPr>
        <w:t>(</w:t>
      </w:r>
      <w:r w:rsidR="00FA67A1" w:rsidRPr="00E83C3D">
        <w:rPr>
          <w:rFonts w:eastAsia="Times New Roman" w:cstheme="minorHAnsi"/>
          <w:color w:val="222222"/>
          <w:highlight w:val="yellow"/>
        </w:rPr>
        <w:t xml:space="preserve">Please refer </w:t>
      </w:r>
      <w:r w:rsidR="005F4DFC" w:rsidRPr="00E83C3D">
        <w:rPr>
          <w:rFonts w:eastAsia="Times New Roman" w:cstheme="minorHAnsi"/>
          <w:color w:val="222222"/>
          <w:highlight w:val="yellow"/>
        </w:rPr>
        <w:t xml:space="preserve">to </w:t>
      </w:r>
      <w:r w:rsidR="00FA67A1" w:rsidRPr="00E83C3D">
        <w:rPr>
          <w:rFonts w:eastAsia="Times New Roman" w:cstheme="minorHAnsi"/>
          <w:color w:val="222222"/>
          <w:highlight w:val="yellow"/>
        </w:rPr>
        <w:t>Scope of Work:</w:t>
      </w:r>
      <w:r w:rsidR="00FA67A1" w:rsidRPr="00E83C3D">
        <w:rPr>
          <w:rFonts w:eastAsia="Times New Roman" w:cstheme="minorHAnsi"/>
          <w:color w:val="222222"/>
        </w:rPr>
        <w:t xml:space="preserve"> </w:t>
      </w:r>
      <w:r w:rsidRPr="00E83C3D">
        <w:rPr>
          <w:rFonts w:eastAsia="Times New Roman" w:cstheme="minorHAnsi"/>
          <w:color w:val="222222"/>
          <w:highlight w:val="yellow"/>
        </w:rPr>
        <w:t xml:space="preserve">As per Section </w:t>
      </w:r>
      <w:r w:rsidR="005F4DFC" w:rsidRPr="00E83C3D">
        <w:rPr>
          <w:rFonts w:eastAsia="Times New Roman" w:cstheme="minorHAnsi"/>
          <w:color w:val="222222"/>
          <w:highlight w:val="yellow"/>
        </w:rPr>
        <w:t xml:space="preserve">1.2(vi) and </w:t>
      </w:r>
      <w:r w:rsidRPr="00E83C3D">
        <w:rPr>
          <w:rFonts w:eastAsia="Times New Roman" w:cstheme="minorHAnsi"/>
          <w:color w:val="222222"/>
          <w:highlight w:val="yellow"/>
        </w:rPr>
        <w:t>1.2(vii</w:t>
      </w:r>
      <w:proofErr w:type="gramStart"/>
      <w:r w:rsidRPr="00E83C3D">
        <w:rPr>
          <w:rFonts w:eastAsia="Times New Roman" w:cstheme="minorHAnsi"/>
          <w:color w:val="222222"/>
          <w:highlight w:val="yellow"/>
        </w:rPr>
        <w:t>)(</w:t>
      </w:r>
      <w:proofErr w:type="gramEnd"/>
      <w:r w:rsidRPr="00E83C3D">
        <w:rPr>
          <w:rFonts w:eastAsia="Times New Roman" w:cstheme="minorHAnsi"/>
          <w:color w:val="222222"/>
          <w:highlight w:val="yellow"/>
        </w:rPr>
        <w:t>a) of RFP, this will be the part of Comprehensive recommendations made by the Consultants</w:t>
      </w:r>
      <w:r w:rsidR="005F4DFC" w:rsidRPr="00E83C3D">
        <w:rPr>
          <w:rFonts w:eastAsia="Times New Roman" w:cstheme="minorHAnsi"/>
          <w:color w:val="222222"/>
          <w:highlight w:val="yellow"/>
        </w:rPr>
        <w:t xml:space="preserve"> 1.2(vii</w:t>
      </w:r>
      <w:r w:rsidRPr="00E83C3D">
        <w:rPr>
          <w:rFonts w:eastAsia="Times New Roman" w:cstheme="minorHAnsi"/>
          <w:color w:val="222222"/>
          <w:highlight w:val="yellow"/>
        </w:rPr>
        <w:t>)</w:t>
      </w:r>
    </w:p>
    <w:p w14:paraId="6ECDF09F" w14:textId="77777777" w:rsidR="00FA67A1" w:rsidRPr="00E83C3D" w:rsidRDefault="00F26F91" w:rsidP="00F26F91">
      <w:pPr>
        <w:numPr>
          <w:ilvl w:val="0"/>
          <w:numId w:val="1"/>
        </w:numPr>
        <w:shd w:val="clear" w:color="auto" w:fill="FFFFFF"/>
        <w:spacing w:after="0" w:line="240" w:lineRule="auto"/>
        <w:ind w:left="765"/>
        <w:rPr>
          <w:rFonts w:eastAsia="Times New Roman" w:cstheme="minorHAnsi"/>
          <w:color w:val="222222"/>
        </w:rPr>
      </w:pPr>
      <w:r w:rsidRPr="00E83C3D">
        <w:rPr>
          <w:rFonts w:eastAsia="Times New Roman" w:cstheme="minorHAnsi"/>
          <w:color w:val="222222"/>
        </w:rPr>
        <w:t>Which entity shall own the ‘Regulatory Sandbox’ specifically to provide the test environment for Digital Banking providers and Fintech</w:t>
      </w:r>
      <w:r w:rsidR="00F21816" w:rsidRPr="00E83C3D">
        <w:rPr>
          <w:rFonts w:eastAsia="Times New Roman" w:cstheme="minorHAnsi"/>
          <w:color w:val="222222"/>
        </w:rPr>
        <w:t xml:space="preserve"> </w:t>
      </w:r>
    </w:p>
    <w:p w14:paraId="6D94F8DF" w14:textId="77777777" w:rsidR="00F26F91" w:rsidRPr="00E83C3D" w:rsidRDefault="00FA67A1" w:rsidP="00FA67A1">
      <w:pPr>
        <w:shd w:val="clear" w:color="auto" w:fill="FFFFFF"/>
        <w:spacing w:after="0" w:line="240" w:lineRule="auto"/>
        <w:ind w:left="765"/>
        <w:rPr>
          <w:rFonts w:eastAsia="Times New Roman" w:cstheme="minorHAnsi"/>
          <w:color w:val="222222"/>
        </w:rPr>
      </w:pPr>
      <w:r w:rsidRPr="00E83C3D">
        <w:rPr>
          <w:rFonts w:eastAsia="Times New Roman" w:cstheme="minorHAnsi"/>
          <w:color w:val="222222"/>
          <w:highlight w:val="yellow"/>
        </w:rPr>
        <w:t xml:space="preserve">(Please refer </w:t>
      </w:r>
      <w:r w:rsidR="005F4DFC" w:rsidRPr="00E83C3D">
        <w:rPr>
          <w:rFonts w:eastAsia="Times New Roman" w:cstheme="minorHAnsi"/>
          <w:color w:val="222222"/>
          <w:highlight w:val="yellow"/>
        </w:rPr>
        <w:t xml:space="preserve">to </w:t>
      </w:r>
      <w:r w:rsidRPr="00E83C3D">
        <w:rPr>
          <w:rFonts w:eastAsia="Times New Roman" w:cstheme="minorHAnsi"/>
          <w:color w:val="222222"/>
          <w:highlight w:val="yellow"/>
        </w:rPr>
        <w:t>Scope of Work:</w:t>
      </w:r>
      <w:r w:rsidRPr="00E83C3D">
        <w:rPr>
          <w:rFonts w:eastAsia="Times New Roman" w:cstheme="minorHAnsi"/>
          <w:color w:val="222222"/>
        </w:rPr>
        <w:t xml:space="preserve"> </w:t>
      </w:r>
      <w:r w:rsidR="00F21816" w:rsidRPr="00E83C3D">
        <w:rPr>
          <w:rFonts w:eastAsia="Times New Roman" w:cstheme="minorHAnsi"/>
          <w:color w:val="222222"/>
          <w:highlight w:val="yellow"/>
        </w:rPr>
        <w:t xml:space="preserve">As per Section </w:t>
      </w:r>
      <w:r w:rsidRPr="00E83C3D">
        <w:rPr>
          <w:rFonts w:eastAsia="Times New Roman" w:cstheme="minorHAnsi"/>
          <w:color w:val="222222"/>
          <w:highlight w:val="yellow"/>
        </w:rPr>
        <w:t>1.2 (ii)</w:t>
      </w:r>
      <w:r w:rsidR="005F4DFC" w:rsidRPr="00E83C3D">
        <w:rPr>
          <w:rFonts w:eastAsia="Times New Roman" w:cstheme="minorHAnsi"/>
          <w:color w:val="222222"/>
          <w:highlight w:val="yellow"/>
        </w:rPr>
        <w:t>, 1.2(vi)</w:t>
      </w:r>
      <w:r w:rsidRPr="00E83C3D">
        <w:rPr>
          <w:rFonts w:eastAsia="Times New Roman" w:cstheme="minorHAnsi"/>
          <w:color w:val="222222"/>
          <w:highlight w:val="yellow"/>
        </w:rPr>
        <w:t xml:space="preserve"> and </w:t>
      </w:r>
      <w:r w:rsidR="00F21816" w:rsidRPr="00E83C3D">
        <w:rPr>
          <w:rFonts w:eastAsia="Times New Roman" w:cstheme="minorHAnsi"/>
          <w:color w:val="222222"/>
          <w:highlight w:val="yellow"/>
        </w:rPr>
        <w:t>1.2(vii</w:t>
      </w:r>
      <w:proofErr w:type="gramStart"/>
      <w:r w:rsidR="00F21816" w:rsidRPr="00E83C3D">
        <w:rPr>
          <w:rFonts w:eastAsia="Times New Roman" w:cstheme="minorHAnsi"/>
          <w:color w:val="222222"/>
          <w:highlight w:val="yellow"/>
        </w:rPr>
        <w:t>)(</w:t>
      </w:r>
      <w:proofErr w:type="gramEnd"/>
      <w:r w:rsidR="00F21816" w:rsidRPr="00E83C3D">
        <w:rPr>
          <w:rFonts w:eastAsia="Times New Roman" w:cstheme="minorHAnsi"/>
          <w:color w:val="222222"/>
          <w:highlight w:val="yellow"/>
        </w:rPr>
        <w:t>d) of RFP, this will be the part of Comprehensive recommendations made by the Consultants</w:t>
      </w:r>
      <w:r w:rsidR="005F4DFC" w:rsidRPr="00E83C3D">
        <w:rPr>
          <w:rFonts w:eastAsia="Times New Roman" w:cstheme="minorHAnsi"/>
          <w:color w:val="222222"/>
          <w:highlight w:val="yellow"/>
        </w:rPr>
        <w:t xml:space="preserve"> 1.2(vii</w:t>
      </w:r>
      <w:r w:rsidR="00F21816" w:rsidRPr="00E83C3D">
        <w:rPr>
          <w:rFonts w:eastAsia="Times New Roman" w:cstheme="minorHAnsi"/>
          <w:color w:val="222222"/>
          <w:highlight w:val="yellow"/>
        </w:rPr>
        <w:t>)</w:t>
      </w:r>
    </w:p>
    <w:p w14:paraId="071C7F9F" w14:textId="77777777" w:rsidR="00F26F91" w:rsidRPr="00E83C3D" w:rsidRDefault="00F26F91" w:rsidP="00F26F91">
      <w:pPr>
        <w:numPr>
          <w:ilvl w:val="0"/>
          <w:numId w:val="1"/>
        </w:numPr>
        <w:shd w:val="clear" w:color="auto" w:fill="FFFFFF"/>
        <w:spacing w:after="0" w:line="240" w:lineRule="auto"/>
        <w:ind w:left="765"/>
        <w:rPr>
          <w:rFonts w:eastAsia="Times New Roman" w:cstheme="minorHAnsi"/>
          <w:color w:val="222222"/>
        </w:rPr>
      </w:pPr>
      <w:r w:rsidRPr="00E83C3D">
        <w:rPr>
          <w:rFonts w:eastAsia="Times New Roman" w:cstheme="minorHAnsi"/>
          <w:color w:val="222222"/>
        </w:rPr>
        <w:t>How the Regulator / Central Bank encourages the Digital Bank to earn.</w:t>
      </w:r>
      <w:r w:rsidR="00F21816" w:rsidRPr="00E83C3D">
        <w:rPr>
          <w:rFonts w:eastAsia="Times New Roman" w:cstheme="minorHAnsi"/>
          <w:color w:val="222222"/>
        </w:rPr>
        <w:t xml:space="preserve"> </w:t>
      </w:r>
    </w:p>
    <w:p w14:paraId="6B58ACEF" w14:textId="77777777" w:rsidR="00F26F91" w:rsidRPr="00E83C3D" w:rsidRDefault="00F26F91" w:rsidP="00F26F91">
      <w:pPr>
        <w:numPr>
          <w:ilvl w:val="1"/>
          <w:numId w:val="1"/>
        </w:numPr>
        <w:shd w:val="clear" w:color="auto" w:fill="FFFFFF"/>
        <w:spacing w:after="0" w:line="240" w:lineRule="auto"/>
        <w:ind w:left="1485"/>
        <w:rPr>
          <w:rFonts w:eastAsia="Times New Roman" w:cstheme="minorHAnsi"/>
          <w:color w:val="222222"/>
        </w:rPr>
      </w:pPr>
      <w:r w:rsidRPr="00E83C3D">
        <w:rPr>
          <w:rFonts w:eastAsia="Times New Roman" w:cstheme="minorHAnsi"/>
          <w:color w:val="222222"/>
        </w:rPr>
        <w:t>From the Deposit Float</w:t>
      </w:r>
    </w:p>
    <w:p w14:paraId="43EF332D" w14:textId="77777777" w:rsidR="00F26F91" w:rsidRPr="00E83C3D" w:rsidRDefault="00F26F91" w:rsidP="00F26F91">
      <w:pPr>
        <w:numPr>
          <w:ilvl w:val="1"/>
          <w:numId w:val="1"/>
        </w:numPr>
        <w:shd w:val="clear" w:color="auto" w:fill="FFFFFF"/>
        <w:spacing w:after="0" w:line="240" w:lineRule="auto"/>
        <w:ind w:left="1485"/>
        <w:rPr>
          <w:rFonts w:eastAsia="Times New Roman" w:cstheme="minorHAnsi"/>
          <w:color w:val="222222"/>
        </w:rPr>
      </w:pPr>
      <w:r w:rsidRPr="00E83C3D">
        <w:rPr>
          <w:rFonts w:eastAsia="Times New Roman" w:cstheme="minorHAnsi"/>
          <w:color w:val="222222"/>
        </w:rPr>
        <w:t xml:space="preserve">From Cross Selling of Banking and </w:t>
      </w:r>
      <w:proofErr w:type="spellStart"/>
      <w:r w:rsidRPr="00E83C3D">
        <w:rPr>
          <w:rFonts w:eastAsia="Times New Roman" w:cstheme="minorHAnsi"/>
          <w:color w:val="222222"/>
        </w:rPr>
        <w:t>Non Banking</w:t>
      </w:r>
      <w:proofErr w:type="spellEnd"/>
      <w:r w:rsidRPr="00E83C3D">
        <w:rPr>
          <w:rFonts w:eastAsia="Times New Roman" w:cstheme="minorHAnsi"/>
          <w:color w:val="222222"/>
        </w:rPr>
        <w:t xml:space="preserve"> Products through a single platform</w:t>
      </w:r>
    </w:p>
    <w:p w14:paraId="4A8B23FB" w14:textId="77777777" w:rsidR="00F26F91" w:rsidRPr="00E83C3D" w:rsidRDefault="00F26F91" w:rsidP="00F26F91">
      <w:pPr>
        <w:numPr>
          <w:ilvl w:val="1"/>
          <w:numId w:val="1"/>
        </w:numPr>
        <w:shd w:val="clear" w:color="auto" w:fill="FFFFFF"/>
        <w:spacing w:after="0" w:line="240" w:lineRule="auto"/>
        <w:ind w:left="1485"/>
        <w:rPr>
          <w:rFonts w:eastAsia="Times New Roman" w:cstheme="minorHAnsi"/>
          <w:color w:val="222222"/>
        </w:rPr>
      </w:pPr>
      <w:r w:rsidRPr="00E83C3D">
        <w:rPr>
          <w:rFonts w:eastAsia="Times New Roman" w:cstheme="minorHAnsi"/>
          <w:color w:val="222222"/>
        </w:rPr>
        <w:t>From Conventional Transaction Fee</w:t>
      </w:r>
    </w:p>
    <w:p w14:paraId="56F03DD5" w14:textId="77777777" w:rsidR="00FA67A1" w:rsidRPr="00E83C3D" w:rsidRDefault="00FA67A1" w:rsidP="00FA67A1">
      <w:pPr>
        <w:shd w:val="clear" w:color="auto" w:fill="FFFFFF"/>
        <w:spacing w:after="0" w:line="240" w:lineRule="auto"/>
        <w:ind w:left="765"/>
        <w:rPr>
          <w:rFonts w:eastAsia="Times New Roman" w:cstheme="minorHAnsi"/>
          <w:color w:val="222222"/>
        </w:rPr>
      </w:pPr>
      <w:r w:rsidRPr="00E83C3D">
        <w:rPr>
          <w:rFonts w:eastAsia="Times New Roman" w:cstheme="minorHAnsi"/>
          <w:color w:val="222222"/>
          <w:highlight w:val="yellow"/>
        </w:rPr>
        <w:t>Please refer Scope of Work: Based on the outputs of Section 1.2 (</w:t>
      </w:r>
      <w:proofErr w:type="spellStart"/>
      <w:r w:rsidRPr="00E83C3D">
        <w:rPr>
          <w:rFonts w:eastAsia="Times New Roman" w:cstheme="minorHAnsi"/>
          <w:color w:val="222222"/>
          <w:highlight w:val="yellow"/>
        </w:rPr>
        <w:t>i</w:t>
      </w:r>
      <w:proofErr w:type="spellEnd"/>
      <w:r w:rsidRPr="00E83C3D">
        <w:rPr>
          <w:rFonts w:eastAsia="Times New Roman" w:cstheme="minorHAnsi"/>
          <w:color w:val="222222"/>
          <w:highlight w:val="yellow"/>
        </w:rPr>
        <w:t xml:space="preserve">), 1.2(iii) and 1.2(vi) of RFP, this will be the part of Comprehensive recommendations made by the </w:t>
      </w:r>
      <w:proofErr w:type="gramStart"/>
      <w:r w:rsidRPr="00E83C3D">
        <w:rPr>
          <w:rFonts w:eastAsia="Times New Roman" w:cstheme="minorHAnsi"/>
          <w:color w:val="222222"/>
          <w:highlight w:val="yellow"/>
        </w:rPr>
        <w:t>Consultants</w:t>
      </w:r>
      <w:r w:rsidR="005F4DFC" w:rsidRPr="00E83C3D">
        <w:rPr>
          <w:rFonts w:eastAsia="Times New Roman" w:cstheme="minorHAnsi"/>
          <w:color w:val="222222"/>
          <w:highlight w:val="yellow"/>
        </w:rPr>
        <w:t>1.2(</w:t>
      </w:r>
      <w:proofErr w:type="gramEnd"/>
      <w:r w:rsidR="005F4DFC" w:rsidRPr="00E83C3D">
        <w:rPr>
          <w:rFonts w:eastAsia="Times New Roman" w:cstheme="minorHAnsi"/>
          <w:color w:val="222222"/>
          <w:highlight w:val="yellow"/>
        </w:rPr>
        <w:t>vii)</w:t>
      </w:r>
      <w:r w:rsidRPr="00E83C3D">
        <w:rPr>
          <w:rFonts w:eastAsia="Times New Roman" w:cstheme="minorHAnsi"/>
          <w:color w:val="222222"/>
          <w:highlight w:val="yellow"/>
        </w:rPr>
        <w:t>)</w:t>
      </w:r>
    </w:p>
    <w:p w14:paraId="5980F290" w14:textId="77777777" w:rsidR="00FA67A1" w:rsidRPr="00E83C3D" w:rsidRDefault="00FA67A1" w:rsidP="00FA67A1">
      <w:pPr>
        <w:shd w:val="clear" w:color="auto" w:fill="FFFFFF"/>
        <w:spacing w:after="0" w:line="240" w:lineRule="auto"/>
        <w:rPr>
          <w:rFonts w:eastAsia="Times New Roman" w:cstheme="minorHAnsi"/>
          <w:color w:val="222222"/>
        </w:rPr>
      </w:pPr>
    </w:p>
    <w:p w14:paraId="42E66484" w14:textId="77777777" w:rsidR="00F26F91" w:rsidRPr="00E83C3D" w:rsidRDefault="00F26F91" w:rsidP="00F26F91">
      <w:pPr>
        <w:numPr>
          <w:ilvl w:val="0"/>
          <w:numId w:val="1"/>
        </w:numPr>
        <w:shd w:val="clear" w:color="auto" w:fill="FFFFFF"/>
        <w:spacing w:after="0" w:line="240" w:lineRule="auto"/>
        <w:ind w:left="765"/>
        <w:rPr>
          <w:rFonts w:eastAsia="Times New Roman" w:cstheme="minorHAnsi"/>
          <w:color w:val="222222"/>
        </w:rPr>
      </w:pPr>
      <w:r w:rsidRPr="00E83C3D">
        <w:rPr>
          <w:rFonts w:eastAsia="Times New Roman" w:cstheme="minorHAnsi"/>
          <w:color w:val="222222"/>
        </w:rPr>
        <w:t xml:space="preserve">Has Competition Commission </w:t>
      </w:r>
      <w:proofErr w:type="spellStart"/>
      <w:r w:rsidRPr="00E83C3D">
        <w:rPr>
          <w:rFonts w:eastAsia="Times New Roman" w:cstheme="minorHAnsi"/>
          <w:color w:val="222222"/>
        </w:rPr>
        <w:t>posses</w:t>
      </w:r>
      <w:proofErr w:type="spellEnd"/>
      <w:r w:rsidRPr="00E83C3D">
        <w:rPr>
          <w:rFonts w:eastAsia="Times New Roman" w:cstheme="minorHAnsi"/>
          <w:color w:val="222222"/>
        </w:rPr>
        <w:t xml:space="preserve"> any role in regulating the pricing of Digital Banking Services or it will be based on the Schedule of Charges by the Bank.</w:t>
      </w:r>
    </w:p>
    <w:p w14:paraId="1BAAEC81" w14:textId="77777777" w:rsidR="00FA67A1" w:rsidRPr="00E83C3D" w:rsidRDefault="00FA67A1" w:rsidP="00FA67A1">
      <w:pPr>
        <w:pStyle w:val="ListParagraph"/>
        <w:shd w:val="clear" w:color="auto" w:fill="FFFFFF"/>
        <w:spacing w:after="0" w:line="240" w:lineRule="auto"/>
        <w:rPr>
          <w:rFonts w:eastAsia="Times New Roman" w:cstheme="minorHAnsi"/>
          <w:color w:val="222222"/>
        </w:rPr>
      </w:pPr>
      <w:r w:rsidRPr="00E83C3D">
        <w:rPr>
          <w:rFonts w:eastAsia="Times New Roman" w:cstheme="minorHAnsi"/>
          <w:color w:val="222222"/>
          <w:highlight w:val="yellow"/>
        </w:rPr>
        <w:t>(Please refer Scope of Work: Based on the outputs of Section 1.2(ii) of RFP, this will be the part of Comprehensive recommendations made by the Consultants</w:t>
      </w:r>
      <w:r w:rsidR="005F4DFC" w:rsidRPr="00E83C3D">
        <w:rPr>
          <w:rFonts w:eastAsia="Times New Roman" w:cstheme="minorHAnsi"/>
          <w:color w:val="222222"/>
          <w:highlight w:val="yellow"/>
        </w:rPr>
        <w:t xml:space="preserve"> 1.2(vii</w:t>
      </w:r>
      <w:r w:rsidRPr="00E83C3D">
        <w:rPr>
          <w:rFonts w:eastAsia="Times New Roman" w:cstheme="minorHAnsi"/>
          <w:color w:val="222222"/>
          <w:highlight w:val="yellow"/>
        </w:rPr>
        <w:t>)</w:t>
      </w:r>
    </w:p>
    <w:p w14:paraId="073FCE75" w14:textId="77777777" w:rsidR="00FA67A1" w:rsidRPr="00E83C3D" w:rsidRDefault="00FA67A1" w:rsidP="00FA67A1">
      <w:pPr>
        <w:shd w:val="clear" w:color="auto" w:fill="FFFFFF"/>
        <w:spacing w:after="0" w:line="240" w:lineRule="auto"/>
        <w:ind w:left="765"/>
        <w:rPr>
          <w:rFonts w:eastAsia="Times New Roman" w:cstheme="minorHAnsi"/>
          <w:color w:val="222222"/>
        </w:rPr>
      </w:pPr>
    </w:p>
    <w:p w14:paraId="35E01DD2" w14:textId="77777777" w:rsidR="00F26F91" w:rsidRPr="00E83C3D" w:rsidRDefault="00F26F91" w:rsidP="00F26F91">
      <w:pPr>
        <w:numPr>
          <w:ilvl w:val="0"/>
          <w:numId w:val="1"/>
        </w:numPr>
        <w:shd w:val="clear" w:color="auto" w:fill="FFFFFF"/>
        <w:spacing w:after="0" w:line="240" w:lineRule="auto"/>
        <w:ind w:left="765"/>
        <w:rPr>
          <w:rFonts w:eastAsia="Times New Roman" w:cstheme="minorHAnsi"/>
          <w:color w:val="222222"/>
        </w:rPr>
      </w:pPr>
      <w:proofErr w:type="spellStart"/>
      <w:r w:rsidRPr="00E83C3D">
        <w:rPr>
          <w:rFonts w:eastAsia="Times New Roman" w:cstheme="minorHAnsi"/>
          <w:color w:val="222222"/>
        </w:rPr>
        <w:t>Fintechs</w:t>
      </w:r>
      <w:proofErr w:type="spellEnd"/>
      <w:r w:rsidRPr="00E83C3D">
        <w:rPr>
          <w:rFonts w:eastAsia="Times New Roman" w:cstheme="minorHAnsi"/>
          <w:color w:val="222222"/>
        </w:rPr>
        <w:t xml:space="preserve"> have a dominant role in Digital Banking. Will the </w:t>
      </w:r>
      <w:proofErr w:type="spellStart"/>
      <w:r w:rsidRPr="00E83C3D">
        <w:rPr>
          <w:rFonts w:eastAsia="Times New Roman" w:cstheme="minorHAnsi"/>
          <w:color w:val="222222"/>
        </w:rPr>
        <w:t>Fintechs</w:t>
      </w:r>
      <w:proofErr w:type="spellEnd"/>
      <w:r w:rsidRPr="00E83C3D">
        <w:rPr>
          <w:rFonts w:eastAsia="Times New Roman" w:cstheme="minorHAnsi"/>
          <w:color w:val="222222"/>
        </w:rPr>
        <w:t xml:space="preserve"> be govern under the PSP/PSO regulation of SBP or under the Digital Banking Regulation. Please elaborate</w:t>
      </w:r>
    </w:p>
    <w:p w14:paraId="71E4C76B" w14:textId="77777777" w:rsidR="005F4DFC" w:rsidRPr="00E83C3D" w:rsidRDefault="005F4DFC" w:rsidP="005F4DFC">
      <w:pPr>
        <w:shd w:val="clear" w:color="auto" w:fill="FFFFFF"/>
        <w:spacing w:after="0" w:line="240" w:lineRule="auto"/>
        <w:ind w:left="765"/>
        <w:rPr>
          <w:rFonts w:eastAsia="Times New Roman" w:cstheme="minorHAnsi"/>
          <w:color w:val="222222"/>
        </w:rPr>
      </w:pPr>
      <w:r w:rsidRPr="00E83C3D">
        <w:rPr>
          <w:rFonts w:eastAsia="Times New Roman" w:cstheme="minorHAnsi"/>
          <w:color w:val="222222"/>
        </w:rPr>
        <w:t>(</w:t>
      </w:r>
      <w:r w:rsidRPr="00E83C3D">
        <w:rPr>
          <w:rFonts w:eastAsia="Times New Roman" w:cstheme="minorHAnsi"/>
          <w:color w:val="222222"/>
          <w:highlight w:val="yellow"/>
        </w:rPr>
        <w:t>Please refer Scope of Work:</w:t>
      </w:r>
      <w:r w:rsidRPr="00E83C3D">
        <w:rPr>
          <w:rFonts w:eastAsia="Times New Roman" w:cstheme="minorHAnsi"/>
          <w:color w:val="222222"/>
        </w:rPr>
        <w:t xml:space="preserve"> </w:t>
      </w:r>
      <w:r w:rsidRPr="00E83C3D">
        <w:rPr>
          <w:rFonts w:eastAsia="Times New Roman" w:cstheme="minorHAnsi"/>
          <w:color w:val="222222"/>
          <w:highlight w:val="yellow"/>
        </w:rPr>
        <w:t>Based on the outputs of Section 1.2(ii) of RFP, this will be the part of Comprehensive recommendations made by the Consultants 1.2(vii)</w:t>
      </w:r>
    </w:p>
    <w:p w14:paraId="70C354AC" w14:textId="77777777" w:rsidR="00F26F91" w:rsidRPr="00E83C3D" w:rsidRDefault="00F26F91" w:rsidP="00F26F91">
      <w:pPr>
        <w:numPr>
          <w:ilvl w:val="0"/>
          <w:numId w:val="1"/>
        </w:numPr>
        <w:shd w:val="clear" w:color="auto" w:fill="FFFFFF"/>
        <w:spacing w:after="0" w:line="240" w:lineRule="auto"/>
        <w:ind w:left="765"/>
        <w:rPr>
          <w:rFonts w:eastAsia="Times New Roman" w:cstheme="minorHAnsi"/>
          <w:color w:val="222222"/>
        </w:rPr>
      </w:pPr>
      <w:r w:rsidRPr="00E83C3D">
        <w:rPr>
          <w:rFonts w:eastAsia="Times New Roman" w:cstheme="minorHAnsi"/>
          <w:color w:val="222222"/>
        </w:rPr>
        <w:t>Under the proposed Digital Banking Regulation, the issuance of Digital Fiat Currency is transparent to any Central Bank plans to issue a Pakistan crypto currency.</w:t>
      </w:r>
    </w:p>
    <w:p w14:paraId="10942D9E" w14:textId="77777777" w:rsidR="005F4DFC" w:rsidRPr="00E83C3D" w:rsidRDefault="005F4DFC" w:rsidP="005F4DFC">
      <w:pPr>
        <w:shd w:val="clear" w:color="auto" w:fill="FFFFFF"/>
        <w:spacing w:after="0" w:line="240" w:lineRule="auto"/>
        <w:ind w:left="765"/>
        <w:rPr>
          <w:rFonts w:eastAsia="Times New Roman" w:cstheme="minorHAnsi"/>
          <w:color w:val="222222"/>
        </w:rPr>
      </w:pPr>
      <w:r w:rsidRPr="00E83C3D">
        <w:rPr>
          <w:rFonts w:eastAsia="Times New Roman" w:cstheme="minorHAnsi"/>
          <w:color w:val="222222"/>
          <w:highlight w:val="yellow"/>
        </w:rPr>
        <w:t>As per Scope of Work, the Consultant will this will be the part of Comprehensive recommendations made by the Consultants 1.2(vii)</w:t>
      </w:r>
    </w:p>
    <w:p w14:paraId="1FA6C5DD" w14:textId="77777777" w:rsidR="00F26F91" w:rsidRPr="00E83C3D" w:rsidRDefault="00F26F91" w:rsidP="00F26F91">
      <w:pPr>
        <w:shd w:val="clear" w:color="auto" w:fill="FFFFFF"/>
        <w:spacing w:after="0" w:line="240" w:lineRule="auto"/>
        <w:rPr>
          <w:rFonts w:eastAsia="Times New Roman" w:cstheme="minorHAnsi"/>
          <w:color w:val="222222"/>
        </w:rPr>
      </w:pPr>
    </w:p>
    <w:p w14:paraId="5C01835A" w14:textId="77777777" w:rsidR="00F26F91" w:rsidRPr="00E83C3D" w:rsidRDefault="00F26F91" w:rsidP="00F26F91">
      <w:pPr>
        <w:shd w:val="clear" w:color="auto" w:fill="FFFFFF"/>
        <w:spacing w:after="0" w:line="240" w:lineRule="auto"/>
        <w:rPr>
          <w:rFonts w:eastAsia="Times New Roman" w:cstheme="minorHAnsi"/>
          <w:color w:val="222222"/>
        </w:rPr>
      </w:pPr>
    </w:p>
    <w:tbl>
      <w:tblPr>
        <w:tblStyle w:val="TableGrid"/>
        <w:tblW w:w="0" w:type="auto"/>
        <w:tblLook w:val="04A0" w:firstRow="1" w:lastRow="0" w:firstColumn="1" w:lastColumn="0" w:noHBand="0" w:noVBand="1"/>
      </w:tblPr>
      <w:tblGrid>
        <w:gridCol w:w="805"/>
        <w:gridCol w:w="1980"/>
        <w:gridCol w:w="3150"/>
        <w:gridCol w:w="3415"/>
      </w:tblGrid>
      <w:tr w:rsidR="00F26F91" w:rsidRPr="00E83C3D" w14:paraId="387C27B5" w14:textId="77777777" w:rsidTr="00604A6E">
        <w:trPr>
          <w:tblHeader/>
        </w:trPr>
        <w:tc>
          <w:tcPr>
            <w:tcW w:w="805" w:type="dxa"/>
            <w:shd w:val="clear" w:color="auto" w:fill="F2F2F2" w:themeFill="background1" w:themeFillShade="F2"/>
            <w:vAlign w:val="center"/>
          </w:tcPr>
          <w:p w14:paraId="41190C41" w14:textId="77777777" w:rsidR="00F26F91" w:rsidRPr="00E83C3D" w:rsidRDefault="00F26F91" w:rsidP="00604A6E">
            <w:pPr>
              <w:spacing w:before="120" w:after="120"/>
              <w:jc w:val="center"/>
              <w:rPr>
                <w:rFonts w:cstheme="minorHAnsi"/>
                <w:b/>
              </w:rPr>
            </w:pPr>
            <w:proofErr w:type="spellStart"/>
            <w:r w:rsidRPr="00E83C3D">
              <w:rPr>
                <w:rFonts w:cstheme="minorHAnsi"/>
                <w:b/>
              </w:rPr>
              <w:t>S.No</w:t>
            </w:r>
            <w:proofErr w:type="spellEnd"/>
          </w:p>
        </w:tc>
        <w:tc>
          <w:tcPr>
            <w:tcW w:w="1980" w:type="dxa"/>
            <w:shd w:val="clear" w:color="auto" w:fill="F2F2F2" w:themeFill="background1" w:themeFillShade="F2"/>
            <w:vAlign w:val="center"/>
          </w:tcPr>
          <w:p w14:paraId="78F7FD6A" w14:textId="77777777" w:rsidR="00F26F91" w:rsidRPr="00E83C3D" w:rsidRDefault="00F26F91" w:rsidP="00604A6E">
            <w:pPr>
              <w:spacing w:before="120" w:after="120"/>
              <w:jc w:val="center"/>
              <w:rPr>
                <w:rFonts w:cstheme="minorHAnsi"/>
                <w:b/>
              </w:rPr>
            </w:pPr>
            <w:r w:rsidRPr="00E83C3D">
              <w:rPr>
                <w:rFonts w:cstheme="minorHAnsi"/>
                <w:b/>
              </w:rPr>
              <w:t>Reference to the RFP</w:t>
            </w:r>
          </w:p>
        </w:tc>
        <w:tc>
          <w:tcPr>
            <w:tcW w:w="3150" w:type="dxa"/>
            <w:shd w:val="clear" w:color="auto" w:fill="F2F2F2" w:themeFill="background1" w:themeFillShade="F2"/>
            <w:vAlign w:val="center"/>
          </w:tcPr>
          <w:p w14:paraId="5CC1C99C" w14:textId="77777777" w:rsidR="00F26F91" w:rsidRPr="00E83C3D" w:rsidRDefault="00F26F91" w:rsidP="00604A6E">
            <w:pPr>
              <w:spacing w:before="120" w:after="120"/>
              <w:jc w:val="center"/>
              <w:rPr>
                <w:rFonts w:cstheme="minorHAnsi"/>
                <w:b/>
              </w:rPr>
            </w:pPr>
            <w:r w:rsidRPr="00E83C3D">
              <w:rPr>
                <w:rFonts w:cstheme="minorHAnsi"/>
                <w:b/>
              </w:rPr>
              <w:t>Relevant Extract from the RFP</w:t>
            </w:r>
          </w:p>
        </w:tc>
        <w:tc>
          <w:tcPr>
            <w:tcW w:w="3415" w:type="dxa"/>
            <w:shd w:val="clear" w:color="auto" w:fill="F2F2F2" w:themeFill="background1" w:themeFillShade="F2"/>
            <w:vAlign w:val="center"/>
          </w:tcPr>
          <w:p w14:paraId="11605A7D" w14:textId="77777777" w:rsidR="00F26F91" w:rsidRPr="00E83C3D" w:rsidRDefault="00F26F91" w:rsidP="00604A6E">
            <w:pPr>
              <w:spacing w:before="120" w:after="120"/>
              <w:jc w:val="center"/>
              <w:rPr>
                <w:rFonts w:cstheme="minorHAnsi"/>
                <w:b/>
              </w:rPr>
            </w:pPr>
            <w:r w:rsidRPr="00E83C3D">
              <w:rPr>
                <w:rFonts w:cstheme="minorHAnsi"/>
                <w:b/>
              </w:rPr>
              <w:t>Clarification/ Information Required</w:t>
            </w:r>
          </w:p>
        </w:tc>
      </w:tr>
      <w:tr w:rsidR="00F26F91" w:rsidRPr="00E83C3D" w14:paraId="3340665C" w14:textId="77777777" w:rsidTr="00604A6E">
        <w:tc>
          <w:tcPr>
            <w:tcW w:w="805" w:type="dxa"/>
          </w:tcPr>
          <w:p w14:paraId="0E0C0A5F" w14:textId="77777777" w:rsidR="00F26F91" w:rsidRPr="00E83C3D" w:rsidRDefault="00F26F91" w:rsidP="00604A6E">
            <w:pPr>
              <w:spacing w:before="120" w:after="120"/>
              <w:jc w:val="center"/>
              <w:rPr>
                <w:rFonts w:cstheme="minorHAnsi"/>
              </w:rPr>
            </w:pPr>
            <w:r w:rsidRPr="00E83C3D">
              <w:rPr>
                <w:rFonts w:cstheme="minorHAnsi"/>
              </w:rPr>
              <w:t>1</w:t>
            </w:r>
          </w:p>
        </w:tc>
        <w:tc>
          <w:tcPr>
            <w:tcW w:w="1980" w:type="dxa"/>
          </w:tcPr>
          <w:p w14:paraId="7EF69A27" w14:textId="77777777" w:rsidR="00F26F91" w:rsidRPr="00E83C3D" w:rsidRDefault="00F26F91" w:rsidP="00604A6E">
            <w:pPr>
              <w:spacing w:before="120" w:after="120"/>
              <w:rPr>
                <w:rFonts w:cstheme="minorHAnsi"/>
              </w:rPr>
            </w:pPr>
            <w:r w:rsidRPr="00E83C3D">
              <w:rPr>
                <w:rFonts w:cstheme="minorHAnsi"/>
              </w:rPr>
              <w:t>Section 2, Instructions to Firms, (C) Preparation and Submission of Proposals, 10</w:t>
            </w:r>
          </w:p>
        </w:tc>
        <w:tc>
          <w:tcPr>
            <w:tcW w:w="3150" w:type="dxa"/>
          </w:tcPr>
          <w:p w14:paraId="5584BA7C" w14:textId="77777777" w:rsidR="00F26F91" w:rsidRPr="00E83C3D" w:rsidRDefault="00F26F91" w:rsidP="00604A6E">
            <w:pPr>
              <w:spacing w:before="120" w:after="120"/>
              <w:rPr>
                <w:rFonts w:cstheme="minorHAnsi"/>
              </w:rPr>
            </w:pPr>
            <w:r w:rsidRPr="00E83C3D">
              <w:rPr>
                <w:rFonts w:cstheme="minorHAnsi"/>
              </w:rPr>
              <w:t xml:space="preserve">Comments and suggestions on the terms of reference, counterpart staff, and facilities to be provided by the client </w:t>
            </w:r>
          </w:p>
        </w:tc>
        <w:tc>
          <w:tcPr>
            <w:tcW w:w="3415" w:type="dxa"/>
          </w:tcPr>
          <w:p w14:paraId="5FF30BAD" w14:textId="77777777" w:rsidR="00F26F91" w:rsidRPr="00E83C3D" w:rsidRDefault="00F26F91" w:rsidP="00604A6E">
            <w:pPr>
              <w:spacing w:before="120" w:after="120"/>
              <w:rPr>
                <w:rFonts w:cstheme="minorHAnsi"/>
              </w:rPr>
            </w:pPr>
            <w:r w:rsidRPr="00E83C3D">
              <w:rPr>
                <w:rFonts w:cstheme="minorHAnsi"/>
              </w:rPr>
              <w:t>Clarification is requested on whether the comments and suggestions are mandatorily required within the proposal</w:t>
            </w:r>
          </w:p>
          <w:p w14:paraId="53CD2270" w14:textId="77777777" w:rsidR="00F26F91" w:rsidRPr="00E83C3D" w:rsidRDefault="00B021D3" w:rsidP="00604A6E">
            <w:pPr>
              <w:spacing w:before="120" w:after="120"/>
              <w:rPr>
                <w:rFonts w:cstheme="minorHAnsi"/>
                <w:b/>
              </w:rPr>
            </w:pPr>
            <w:r w:rsidRPr="00E83C3D">
              <w:rPr>
                <w:rFonts w:cstheme="minorHAnsi"/>
                <w:b/>
              </w:rPr>
              <w:t xml:space="preserve">Reply: </w:t>
            </w:r>
          </w:p>
          <w:p w14:paraId="0A13C384" w14:textId="7FAF1387" w:rsidR="00B021D3" w:rsidRPr="00E83C3D" w:rsidRDefault="00B021D3" w:rsidP="00604A6E">
            <w:pPr>
              <w:spacing w:before="120" w:after="120"/>
              <w:rPr>
                <w:rFonts w:cstheme="minorHAnsi"/>
              </w:rPr>
            </w:pPr>
            <w:r w:rsidRPr="00E83C3D">
              <w:rPr>
                <w:rFonts w:cstheme="minorHAnsi"/>
                <w:highlight w:val="yellow"/>
              </w:rPr>
              <w:t>Yes</w:t>
            </w:r>
          </w:p>
        </w:tc>
      </w:tr>
      <w:tr w:rsidR="00F26F91" w:rsidRPr="00E83C3D" w14:paraId="4ECA1E13" w14:textId="77777777" w:rsidTr="00604A6E">
        <w:tc>
          <w:tcPr>
            <w:tcW w:w="805" w:type="dxa"/>
          </w:tcPr>
          <w:p w14:paraId="48A3B53B" w14:textId="77777777" w:rsidR="00F26F91" w:rsidRPr="00E83C3D" w:rsidRDefault="00F26F91" w:rsidP="00604A6E">
            <w:pPr>
              <w:spacing w:before="120" w:after="120"/>
              <w:jc w:val="center"/>
              <w:rPr>
                <w:rFonts w:cstheme="minorHAnsi"/>
              </w:rPr>
            </w:pPr>
            <w:r w:rsidRPr="00E83C3D">
              <w:rPr>
                <w:rFonts w:cstheme="minorHAnsi"/>
              </w:rPr>
              <w:t>2</w:t>
            </w:r>
          </w:p>
        </w:tc>
        <w:tc>
          <w:tcPr>
            <w:tcW w:w="1980" w:type="dxa"/>
          </w:tcPr>
          <w:p w14:paraId="4B6C8228" w14:textId="77777777" w:rsidR="00F26F91" w:rsidRPr="00E83C3D" w:rsidRDefault="00F26F91" w:rsidP="00604A6E">
            <w:pPr>
              <w:spacing w:before="120" w:after="120"/>
              <w:rPr>
                <w:rFonts w:cstheme="minorHAnsi"/>
              </w:rPr>
            </w:pPr>
            <w:r w:rsidRPr="00E83C3D">
              <w:rPr>
                <w:rFonts w:cstheme="minorHAnsi"/>
              </w:rPr>
              <w:t>Section 2, Instructions to Firms, (C) Preparation and Submission of Proposals, 15</w:t>
            </w:r>
          </w:p>
        </w:tc>
        <w:tc>
          <w:tcPr>
            <w:tcW w:w="3150" w:type="dxa"/>
          </w:tcPr>
          <w:p w14:paraId="1CCA1DB0" w14:textId="77777777" w:rsidR="00F26F91" w:rsidRPr="00E83C3D" w:rsidRDefault="00F26F91" w:rsidP="00604A6E">
            <w:pPr>
              <w:spacing w:before="120" w:after="120"/>
              <w:rPr>
                <w:rFonts w:cstheme="minorHAnsi"/>
              </w:rPr>
            </w:pPr>
            <w:r w:rsidRPr="00E83C3D">
              <w:rPr>
                <w:rFonts w:cstheme="minorHAnsi"/>
              </w:rPr>
              <w:t>The firm shall prepare and email  a scanned copy of the documents  comprising the Proposal as described in point 10 on official company letterhead</w:t>
            </w:r>
          </w:p>
        </w:tc>
        <w:tc>
          <w:tcPr>
            <w:tcW w:w="3415" w:type="dxa"/>
          </w:tcPr>
          <w:p w14:paraId="10E1A4A9" w14:textId="77777777" w:rsidR="00F26F91" w:rsidRPr="00E83C3D" w:rsidRDefault="00F26F91" w:rsidP="00604A6E">
            <w:pPr>
              <w:spacing w:before="120" w:after="120"/>
              <w:rPr>
                <w:rFonts w:cstheme="minorHAnsi"/>
              </w:rPr>
            </w:pPr>
            <w:r w:rsidRPr="00E83C3D">
              <w:rPr>
                <w:rFonts w:cstheme="minorHAnsi"/>
              </w:rPr>
              <w:t xml:space="preserve">Please confirm if the email must only be sent to the following; and no other address of </w:t>
            </w:r>
            <w:proofErr w:type="spellStart"/>
            <w:r w:rsidRPr="00E83C3D">
              <w:rPr>
                <w:rFonts w:cstheme="minorHAnsi"/>
              </w:rPr>
              <w:t>Karandaaz</w:t>
            </w:r>
            <w:proofErr w:type="spellEnd"/>
            <w:r w:rsidRPr="00E83C3D">
              <w:rPr>
                <w:rFonts w:cstheme="minorHAnsi"/>
              </w:rPr>
              <w:t xml:space="preserve">: </w:t>
            </w:r>
            <w:hyperlink r:id="rId6" w:history="1">
              <w:r w:rsidRPr="00E83C3D">
                <w:rPr>
                  <w:rStyle w:val="Hyperlink"/>
                  <w:rFonts w:cstheme="minorHAnsi"/>
                </w:rPr>
                <w:t>procurement@karandaaz.com.pk</w:t>
              </w:r>
            </w:hyperlink>
          </w:p>
          <w:p w14:paraId="75ADB06E" w14:textId="77777777" w:rsidR="00F26F91" w:rsidRPr="00E83C3D" w:rsidRDefault="00F26F91" w:rsidP="00604A6E">
            <w:pPr>
              <w:spacing w:before="120" w:after="120"/>
              <w:rPr>
                <w:rFonts w:cstheme="minorHAnsi"/>
              </w:rPr>
            </w:pPr>
            <w:r w:rsidRPr="00E83C3D">
              <w:rPr>
                <w:rFonts w:cstheme="minorHAnsi"/>
              </w:rPr>
              <w:t xml:space="preserve">If the email has to be sent to another address, can you please also provide the other </w:t>
            </w:r>
            <w:proofErr w:type="gramStart"/>
            <w:r w:rsidRPr="00E83C3D">
              <w:rPr>
                <w:rFonts w:cstheme="minorHAnsi"/>
              </w:rPr>
              <w:t>address.</w:t>
            </w:r>
            <w:proofErr w:type="gramEnd"/>
          </w:p>
          <w:p w14:paraId="7A89BE68" w14:textId="77777777" w:rsidR="00B021D3" w:rsidRPr="00E83C3D" w:rsidRDefault="00B021D3" w:rsidP="00604A6E">
            <w:pPr>
              <w:spacing w:before="120" w:after="120"/>
              <w:rPr>
                <w:rFonts w:cstheme="minorHAnsi"/>
                <w:b/>
              </w:rPr>
            </w:pPr>
            <w:r w:rsidRPr="00E83C3D">
              <w:rPr>
                <w:rFonts w:cstheme="minorHAnsi"/>
                <w:b/>
              </w:rPr>
              <w:t>Reply:</w:t>
            </w:r>
          </w:p>
          <w:p w14:paraId="3B7691F4" w14:textId="12D1AEF7" w:rsidR="00B021D3" w:rsidRPr="00E83C3D" w:rsidRDefault="00B021D3" w:rsidP="00604A6E">
            <w:pPr>
              <w:spacing w:before="120" w:after="120"/>
              <w:rPr>
                <w:rFonts w:cstheme="minorHAnsi"/>
              </w:rPr>
            </w:pPr>
            <w:r w:rsidRPr="00E83C3D">
              <w:rPr>
                <w:rFonts w:cstheme="minorHAnsi"/>
                <w:highlight w:val="yellow"/>
              </w:rPr>
              <w:t xml:space="preserve">As per Section 1. Letter of Invitation: </w:t>
            </w:r>
            <w:hyperlink r:id="rId7" w:history="1">
              <w:r w:rsidRPr="00E83C3D">
                <w:rPr>
                  <w:rStyle w:val="Hyperlink"/>
                  <w:rFonts w:cstheme="minorHAnsi"/>
                  <w:b/>
                  <w:highlight w:val="yellow"/>
                </w:rPr>
                <w:t>procurement@karandaaz.com.pk</w:t>
              </w:r>
            </w:hyperlink>
          </w:p>
        </w:tc>
      </w:tr>
      <w:tr w:rsidR="00F26F91" w:rsidRPr="00E83C3D" w14:paraId="4B7305A5" w14:textId="77777777" w:rsidTr="00604A6E">
        <w:tc>
          <w:tcPr>
            <w:tcW w:w="805" w:type="dxa"/>
          </w:tcPr>
          <w:p w14:paraId="3AF08FFA" w14:textId="77777777" w:rsidR="00F26F91" w:rsidRPr="00E83C3D" w:rsidRDefault="00F26F91" w:rsidP="00604A6E">
            <w:pPr>
              <w:spacing w:before="120" w:after="120"/>
              <w:jc w:val="center"/>
              <w:rPr>
                <w:rFonts w:cstheme="minorHAnsi"/>
              </w:rPr>
            </w:pPr>
            <w:r w:rsidRPr="00E83C3D">
              <w:rPr>
                <w:rFonts w:cstheme="minorHAnsi"/>
              </w:rPr>
              <w:t>3</w:t>
            </w:r>
          </w:p>
        </w:tc>
        <w:tc>
          <w:tcPr>
            <w:tcW w:w="1980" w:type="dxa"/>
          </w:tcPr>
          <w:p w14:paraId="39D031D4" w14:textId="77777777" w:rsidR="00F26F91" w:rsidRPr="00E83C3D" w:rsidRDefault="00F26F91" w:rsidP="00604A6E">
            <w:pPr>
              <w:spacing w:before="120" w:after="120"/>
              <w:rPr>
                <w:rFonts w:cstheme="minorHAnsi"/>
              </w:rPr>
            </w:pPr>
            <w:r w:rsidRPr="00E83C3D">
              <w:rPr>
                <w:rFonts w:cstheme="minorHAnsi"/>
              </w:rPr>
              <w:t>Section 4, Terms of Reference, Scope of Work, 1.2 (ii)</w:t>
            </w:r>
          </w:p>
        </w:tc>
        <w:tc>
          <w:tcPr>
            <w:tcW w:w="3150" w:type="dxa"/>
          </w:tcPr>
          <w:p w14:paraId="03145ADA" w14:textId="77777777" w:rsidR="00F26F91" w:rsidRPr="00E83C3D" w:rsidRDefault="00F26F91" w:rsidP="00604A6E">
            <w:pPr>
              <w:spacing w:before="120" w:after="120"/>
              <w:rPr>
                <w:rFonts w:cstheme="minorHAnsi"/>
              </w:rPr>
            </w:pPr>
            <w:r w:rsidRPr="00E83C3D">
              <w:rPr>
                <w:rFonts w:cstheme="minorHAnsi"/>
              </w:rPr>
              <w:t>Review and gap analysis of applicable regulatory framework for the Digital Banks in Pakistan</w:t>
            </w:r>
          </w:p>
        </w:tc>
        <w:tc>
          <w:tcPr>
            <w:tcW w:w="3415" w:type="dxa"/>
          </w:tcPr>
          <w:p w14:paraId="3FC5EE30" w14:textId="77777777" w:rsidR="00F26F91" w:rsidRPr="00E83C3D" w:rsidRDefault="00F26F91" w:rsidP="00604A6E">
            <w:pPr>
              <w:spacing w:before="120" w:after="120"/>
              <w:rPr>
                <w:rFonts w:cstheme="minorHAnsi"/>
              </w:rPr>
            </w:pPr>
            <w:r w:rsidRPr="00E83C3D">
              <w:rPr>
                <w:rFonts w:cstheme="minorHAnsi"/>
              </w:rPr>
              <w:t>Confirmation is requested on whether the extract is referring to the review and analysis of existing regulations in Pakistan and the extent to which they may support the business of a digital bank in the country.</w:t>
            </w:r>
          </w:p>
          <w:p w14:paraId="2B6D4277" w14:textId="77777777" w:rsidR="00B021D3" w:rsidRPr="00E83C3D" w:rsidRDefault="00B021D3" w:rsidP="00604A6E">
            <w:pPr>
              <w:spacing w:before="120" w:after="120"/>
              <w:rPr>
                <w:rFonts w:cstheme="minorHAnsi"/>
                <w:b/>
              </w:rPr>
            </w:pPr>
            <w:r w:rsidRPr="00E83C3D">
              <w:rPr>
                <w:rFonts w:cstheme="minorHAnsi"/>
                <w:b/>
              </w:rPr>
              <w:t>Reply:</w:t>
            </w:r>
          </w:p>
          <w:p w14:paraId="3EEDFF96" w14:textId="199BA5C6" w:rsidR="00B021D3" w:rsidRPr="00E83C3D" w:rsidRDefault="00B021D3" w:rsidP="00604A6E">
            <w:pPr>
              <w:spacing w:before="120" w:after="120"/>
              <w:rPr>
                <w:rFonts w:cstheme="minorHAnsi"/>
              </w:rPr>
            </w:pPr>
            <w:r w:rsidRPr="00E83C3D">
              <w:rPr>
                <w:rFonts w:cstheme="minorHAnsi"/>
                <w:highlight w:val="yellow"/>
              </w:rPr>
              <w:t>Please refer 1.2(</w:t>
            </w:r>
            <w:proofErr w:type="spellStart"/>
            <w:r w:rsidRPr="00E83C3D">
              <w:rPr>
                <w:rFonts w:cstheme="minorHAnsi"/>
                <w:highlight w:val="yellow"/>
              </w:rPr>
              <w:t>i</w:t>
            </w:r>
            <w:proofErr w:type="spellEnd"/>
            <w:r w:rsidRPr="00E83C3D">
              <w:rPr>
                <w:rFonts w:cstheme="minorHAnsi"/>
                <w:highlight w:val="yellow"/>
              </w:rPr>
              <w:t>), 1.2(ii) and 2.2. This refers to review and gap analysis of existing SBP regulatory frameworks in Pakistan in light of legal and regulatory frameworks on Digital Banks in other countries.</w:t>
            </w:r>
          </w:p>
        </w:tc>
      </w:tr>
      <w:tr w:rsidR="00F26F91" w:rsidRPr="00E83C3D" w14:paraId="447F5E2E" w14:textId="77777777" w:rsidTr="00604A6E">
        <w:tc>
          <w:tcPr>
            <w:tcW w:w="805" w:type="dxa"/>
          </w:tcPr>
          <w:p w14:paraId="16AC67DB" w14:textId="77777777" w:rsidR="00F26F91" w:rsidRPr="00E83C3D" w:rsidRDefault="00F26F91" w:rsidP="00604A6E">
            <w:pPr>
              <w:spacing w:before="120" w:after="120"/>
              <w:jc w:val="center"/>
              <w:rPr>
                <w:rFonts w:cstheme="minorHAnsi"/>
              </w:rPr>
            </w:pPr>
            <w:r w:rsidRPr="00E83C3D">
              <w:rPr>
                <w:rFonts w:cstheme="minorHAnsi"/>
              </w:rPr>
              <w:t>4</w:t>
            </w:r>
          </w:p>
        </w:tc>
        <w:tc>
          <w:tcPr>
            <w:tcW w:w="1980" w:type="dxa"/>
          </w:tcPr>
          <w:p w14:paraId="6F18F906" w14:textId="77777777" w:rsidR="00F26F91" w:rsidRPr="00E83C3D" w:rsidRDefault="00F26F91" w:rsidP="00604A6E">
            <w:pPr>
              <w:spacing w:before="120" w:after="120"/>
              <w:rPr>
                <w:rFonts w:cstheme="minorHAnsi"/>
              </w:rPr>
            </w:pPr>
            <w:r w:rsidRPr="00E83C3D">
              <w:rPr>
                <w:rFonts w:cstheme="minorHAnsi"/>
              </w:rPr>
              <w:t>Section 4, Terms of Reference, Scope of Work, 1.2 (iv)</w:t>
            </w:r>
          </w:p>
        </w:tc>
        <w:tc>
          <w:tcPr>
            <w:tcW w:w="3150" w:type="dxa"/>
          </w:tcPr>
          <w:p w14:paraId="2C164B6C" w14:textId="77777777" w:rsidR="00F26F91" w:rsidRPr="00E83C3D" w:rsidRDefault="00F26F91" w:rsidP="00604A6E">
            <w:pPr>
              <w:spacing w:before="120" w:after="120"/>
              <w:rPr>
                <w:rFonts w:cstheme="minorHAnsi"/>
              </w:rPr>
            </w:pPr>
            <w:r w:rsidRPr="00E83C3D">
              <w:rPr>
                <w:rFonts w:cstheme="minorHAnsi"/>
              </w:rPr>
              <w:t xml:space="preserve">Comprehensive and documented stakeholders’ consultations on the impact of the existing regulatory framework and the emergent </w:t>
            </w:r>
            <w:r w:rsidRPr="00E83C3D">
              <w:rPr>
                <w:rFonts w:cstheme="minorHAnsi"/>
              </w:rPr>
              <w:lastRenderedPageBreak/>
              <w:t>requirements at the initial, intermediate and post draft stages.</w:t>
            </w:r>
          </w:p>
        </w:tc>
        <w:tc>
          <w:tcPr>
            <w:tcW w:w="3415" w:type="dxa"/>
          </w:tcPr>
          <w:p w14:paraId="6E584BF8" w14:textId="77777777" w:rsidR="00F26F91" w:rsidRPr="00E83C3D" w:rsidRDefault="00F26F91" w:rsidP="00604A6E">
            <w:pPr>
              <w:spacing w:before="120" w:after="120"/>
              <w:rPr>
                <w:rFonts w:cstheme="minorHAnsi"/>
              </w:rPr>
            </w:pPr>
            <w:r w:rsidRPr="00E83C3D">
              <w:rPr>
                <w:rFonts w:cstheme="minorHAnsi"/>
              </w:rPr>
              <w:lastRenderedPageBreak/>
              <w:t>Information is requested on who constitute the term ‘stakeholders’?</w:t>
            </w:r>
          </w:p>
          <w:p w14:paraId="4C674BD9" w14:textId="70BBAB14" w:rsidR="00F26F91" w:rsidRPr="00E83C3D" w:rsidRDefault="00F26F91" w:rsidP="00604A6E">
            <w:pPr>
              <w:spacing w:before="120" w:after="120"/>
              <w:rPr>
                <w:rFonts w:cstheme="minorHAnsi"/>
              </w:rPr>
            </w:pPr>
            <w:r w:rsidRPr="00E83C3D">
              <w:rPr>
                <w:rFonts w:cstheme="minorHAnsi"/>
              </w:rPr>
              <w:t xml:space="preserve">Which party to the contract will be responsible for onboarding </w:t>
            </w:r>
            <w:r w:rsidRPr="00E83C3D">
              <w:rPr>
                <w:rFonts w:cstheme="minorHAnsi"/>
              </w:rPr>
              <w:lastRenderedPageBreak/>
              <w:t xml:space="preserve">stakeholders e.g. </w:t>
            </w:r>
            <w:proofErr w:type="spellStart"/>
            <w:r w:rsidRPr="00E83C3D">
              <w:rPr>
                <w:rFonts w:cstheme="minorHAnsi"/>
              </w:rPr>
              <w:t>Karandaaz</w:t>
            </w:r>
            <w:proofErr w:type="spellEnd"/>
            <w:r w:rsidRPr="00E83C3D">
              <w:rPr>
                <w:rFonts w:cstheme="minorHAnsi"/>
              </w:rPr>
              <w:t xml:space="preserve"> or the consultants.</w:t>
            </w:r>
          </w:p>
          <w:p w14:paraId="31D5AD42" w14:textId="77777777" w:rsidR="00F26F91" w:rsidRPr="00E83C3D" w:rsidRDefault="00F26F91" w:rsidP="00604A6E">
            <w:pPr>
              <w:spacing w:before="120" w:after="120"/>
              <w:rPr>
                <w:rFonts w:cstheme="minorHAnsi"/>
              </w:rPr>
            </w:pPr>
            <w:r w:rsidRPr="00E83C3D">
              <w:rPr>
                <w:rFonts w:cstheme="minorHAnsi"/>
              </w:rPr>
              <w:t>Will these stakeholders be separate from the members of the Steering Committee or be representatives of the same organizations to which the Steering Committee members belong? Will they exist in the form of a working group, in which case which party to the contract would set up the working group?</w:t>
            </w:r>
          </w:p>
          <w:p w14:paraId="68019B6D" w14:textId="77777777" w:rsidR="00F26F91" w:rsidRPr="00E83C3D" w:rsidRDefault="00F26F91" w:rsidP="00604A6E">
            <w:pPr>
              <w:spacing w:before="120" w:after="120"/>
              <w:rPr>
                <w:rFonts w:cstheme="minorHAnsi"/>
                <w:i/>
              </w:rPr>
            </w:pPr>
            <w:r w:rsidRPr="00E83C3D">
              <w:rPr>
                <w:rFonts w:cstheme="minorHAnsi"/>
              </w:rPr>
              <w:t xml:space="preserve">Clarification on the above is sought on the grounds of a statement mentioned within the section on Deliverables which states </w:t>
            </w:r>
            <w:r w:rsidRPr="00E83C3D">
              <w:rPr>
                <w:rFonts w:cstheme="minorHAnsi"/>
                <w:i/>
              </w:rPr>
              <w:t xml:space="preserve">“list of stakeholders the consultant proposes to meet” </w:t>
            </w:r>
            <w:r w:rsidRPr="00E83C3D">
              <w:rPr>
                <w:rFonts w:cstheme="minorHAnsi"/>
              </w:rPr>
              <w:t xml:space="preserve">and </w:t>
            </w:r>
            <w:r w:rsidRPr="00E83C3D">
              <w:rPr>
                <w:rFonts w:cstheme="minorHAnsi"/>
                <w:i/>
              </w:rPr>
              <w:t>“Stakeholders’ consultation output along with justification on recommended Draft Framework”</w:t>
            </w:r>
          </w:p>
          <w:p w14:paraId="690FB9A2" w14:textId="77777777" w:rsidR="00B021D3" w:rsidRPr="00E83C3D" w:rsidRDefault="00B021D3" w:rsidP="00604A6E">
            <w:pPr>
              <w:spacing w:before="120" w:after="120"/>
              <w:rPr>
                <w:rFonts w:cstheme="minorHAnsi"/>
              </w:rPr>
            </w:pPr>
            <w:r w:rsidRPr="00E83C3D">
              <w:rPr>
                <w:rFonts w:cstheme="minorHAnsi"/>
              </w:rPr>
              <w:t>Reply:</w:t>
            </w:r>
          </w:p>
          <w:p w14:paraId="1B5178C2" w14:textId="55B7ED45" w:rsidR="00B021D3" w:rsidRPr="00E83C3D" w:rsidRDefault="00B021D3" w:rsidP="00B021D3">
            <w:pPr>
              <w:pStyle w:val="CommentText"/>
              <w:numPr>
                <w:ilvl w:val="0"/>
                <w:numId w:val="3"/>
              </w:numPr>
              <w:rPr>
                <w:rFonts w:cstheme="minorHAnsi"/>
                <w:sz w:val="22"/>
                <w:szCs w:val="22"/>
                <w:highlight w:val="yellow"/>
              </w:rPr>
            </w:pPr>
            <w:r w:rsidRPr="00E83C3D">
              <w:rPr>
                <w:rFonts w:cstheme="minorHAnsi"/>
                <w:sz w:val="22"/>
                <w:szCs w:val="22"/>
                <w:highlight w:val="yellow"/>
              </w:rPr>
              <w:t xml:space="preserve">The term Stakeholder in this RFP refers to external </w:t>
            </w:r>
            <w:proofErr w:type="gramStart"/>
            <w:r w:rsidRPr="00E83C3D">
              <w:rPr>
                <w:rFonts w:cstheme="minorHAnsi"/>
                <w:sz w:val="22"/>
                <w:szCs w:val="22"/>
                <w:highlight w:val="yellow"/>
              </w:rPr>
              <w:t>stakeholders</w:t>
            </w:r>
            <w:proofErr w:type="gramEnd"/>
            <w:r w:rsidRPr="00E83C3D">
              <w:rPr>
                <w:rFonts w:cstheme="minorHAnsi"/>
                <w:sz w:val="22"/>
                <w:szCs w:val="22"/>
                <w:highlight w:val="yellow"/>
              </w:rPr>
              <w:t xml:space="preserve"> </w:t>
            </w:r>
            <w:proofErr w:type="spellStart"/>
            <w:r w:rsidRPr="00E83C3D">
              <w:rPr>
                <w:rFonts w:cstheme="minorHAnsi"/>
                <w:sz w:val="22"/>
                <w:szCs w:val="22"/>
                <w:highlight w:val="yellow"/>
              </w:rPr>
              <w:t>interalia</w:t>
            </w:r>
            <w:proofErr w:type="spellEnd"/>
            <w:r w:rsidRPr="00E83C3D">
              <w:rPr>
                <w:rFonts w:cstheme="minorHAnsi"/>
                <w:sz w:val="22"/>
                <w:szCs w:val="22"/>
                <w:highlight w:val="yellow"/>
              </w:rPr>
              <w:t xml:space="preserve"> Market players and other relevant Government bodies.  </w:t>
            </w:r>
            <w:proofErr w:type="spellStart"/>
            <w:r w:rsidRPr="00E83C3D">
              <w:rPr>
                <w:rFonts w:cstheme="minorHAnsi"/>
                <w:sz w:val="22"/>
                <w:szCs w:val="22"/>
                <w:highlight w:val="yellow"/>
              </w:rPr>
              <w:t>Karandaaz</w:t>
            </w:r>
            <w:proofErr w:type="spellEnd"/>
            <w:r w:rsidRPr="00E83C3D">
              <w:rPr>
                <w:rFonts w:cstheme="minorHAnsi"/>
                <w:sz w:val="22"/>
                <w:szCs w:val="22"/>
                <w:highlight w:val="yellow"/>
              </w:rPr>
              <w:t xml:space="preserve"> Pakistan and Banking Policy &amp; Regulations Group (BPRG) of State Bank of Pakistan are the internal Stakeholders.</w:t>
            </w:r>
          </w:p>
          <w:p w14:paraId="1F927C73" w14:textId="0C1661F6" w:rsidR="00B021D3" w:rsidRPr="00E83C3D" w:rsidRDefault="00B021D3" w:rsidP="00B021D3">
            <w:pPr>
              <w:pStyle w:val="CommentText"/>
              <w:numPr>
                <w:ilvl w:val="0"/>
                <w:numId w:val="3"/>
              </w:numPr>
              <w:rPr>
                <w:rFonts w:cstheme="minorHAnsi"/>
                <w:sz w:val="22"/>
                <w:szCs w:val="22"/>
                <w:highlight w:val="yellow"/>
              </w:rPr>
            </w:pPr>
            <w:r w:rsidRPr="00E83C3D">
              <w:rPr>
                <w:rFonts w:cstheme="minorHAnsi"/>
                <w:sz w:val="22"/>
                <w:szCs w:val="22"/>
                <w:highlight w:val="yellow"/>
              </w:rPr>
              <w:t xml:space="preserve">Please refer </w:t>
            </w:r>
            <w:r w:rsidR="00E83C3D">
              <w:rPr>
                <w:rFonts w:cstheme="minorHAnsi"/>
                <w:sz w:val="22"/>
                <w:szCs w:val="22"/>
                <w:highlight w:val="yellow"/>
              </w:rPr>
              <w:t xml:space="preserve">to </w:t>
            </w:r>
            <w:r w:rsidRPr="00E83C3D">
              <w:rPr>
                <w:rFonts w:cstheme="minorHAnsi"/>
                <w:sz w:val="22"/>
                <w:szCs w:val="22"/>
                <w:highlight w:val="yellow"/>
              </w:rPr>
              <w:t>section 2.1; as per part of Inception report, the consultant will propose a list of stakeholders. Stakeholders’ onboarding will be facilitated by the KRN and SBP.</w:t>
            </w:r>
          </w:p>
          <w:p w14:paraId="51BD16AD" w14:textId="77777777" w:rsidR="00B021D3" w:rsidRPr="00E83C3D" w:rsidRDefault="00B021D3" w:rsidP="00B021D3">
            <w:pPr>
              <w:pStyle w:val="CommentText"/>
              <w:numPr>
                <w:ilvl w:val="0"/>
                <w:numId w:val="3"/>
              </w:numPr>
              <w:rPr>
                <w:rFonts w:cstheme="minorHAnsi"/>
                <w:sz w:val="22"/>
                <w:szCs w:val="22"/>
                <w:highlight w:val="yellow"/>
              </w:rPr>
            </w:pPr>
            <w:r w:rsidRPr="00E83C3D">
              <w:rPr>
                <w:rFonts w:cstheme="minorHAnsi"/>
                <w:sz w:val="22"/>
                <w:szCs w:val="22"/>
                <w:highlight w:val="yellow"/>
              </w:rPr>
              <w:t xml:space="preserve"> Stakeholders referred here are separate from the members of Steering </w:t>
            </w:r>
            <w:r w:rsidRPr="00E83C3D">
              <w:rPr>
                <w:rFonts w:cstheme="minorHAnsi"/>
                <w:sz w:val="22"/>
                <w:szCs w:val="22"/>
                <w:highlight w:val="yellow"/>
              </w:rPr>
              <w:lastRenderedPageBreak/>
              <w:t>Committee. Working Groups, if required, will be facilitated by the Steering Committee.</w:t>
            </w:r>
          </w:p>
          <w:p w14:paraId="5E1BCEF3" w14:textId="77777777" w:rsidR="00B021D3" w:rsidRPr="00E83C3D" w:rsidRDefault="00B021D3" w:rsidP="00B021D3">
            <w:pPr>
              <w:pStyle w:val="CommentText"/>
              <w:numPr>
                <w:ilvl w:val="0"/>
                <w:numId w:val="3"/>
              </w:numPr>
              <w:rPr>
                <w:rFonts w:cstheme="minorHAnsi"/>
                <w:sz w:val="22"/>
                <w:szCs w:val="22"/>
                <w:highlight w:val="yellow"/>
              </w:rPr>
            </w:pPr>
            <w:r w:rsidRPr="00E83C3D">
              <w:rPr>
                <w:rFonts w:cstheme="minorHAnsi"/>
                <w:sz w:val="22"/>
                <w:szCs w:val="22"/>
                <w:highlight w:val="yellow"/>
              </w:rPr>
              <w:t xml:space="preserve"> As part of the Inception report (</w:t>
            </w:r>
            <w:proofErr w:type="spellStart"/>
            <w:proofErr w:type="gramStart"/>
            <w:r w:rsidRPr="00E83C3D">
              <w:rPr>
                <w:rFonts w:cstheme="minorHAnsi"/>
                <w:sz w:val="22"/>
                <w:szCs w:val="22"/>
                <w:highlight w:val="yellow"/>
              </w:rPr>
              <w:t>pl</w:t>
            </w:r>
            <w:proofErr w:type="spellEnd"/>
            <w:proofErr w:type="gramEnd"/>
            <w:r w:rsidRPr="00E83C3D">
              <w:rPr>
                <w:rFonts w:cstheme="minorHAnsi"/>
                <w:sz w:val="22"/>
                <w:szCs w:val="22"/>
                <w:highlight w:val="yellow"/>
              </w:rPr>
              <w:t xml:space="preserve"> refer section 2.1) the Consultant will provide a list of internal and external stakeholders for consultation. This list will be updated and finalized by the Steering Co for stakeholders’ consultation. These consultations will be facilitated by the </w:t>
            </w:r>
            <w:proofErr w:type="spellStart"/>
            <w:r w:rsidRPr="00E83C3D">
              <w:rPr>
                <w:rFonts w:cstheme="minorHAnsi"/>
                <w:sz w:val="22"/>
                <w:szCs w:val="22"/>
                <w:highlight w:val="yellow"/>
              </w:rPr>
              <w:t>SteerCo</w:t>
            </w:r>
            <w:proofErr w:type="spellEnd"/>
            <w:r w:rsidRPr="00E83C3D">
              <w:rPr>
                <w:rFonts w:cstheme="minorHAnsi"/>
                <w:sz w:val="22"/>
                <w:szCs w:val="22"/>
                <w:highlight w:val="yellow"/>
              </w:rPr>
              <w:t>.</w:t>
            </w:r>
          </w:p>
          <w:p w14:paraId="6BDF33E4" w14:textId="77777777" w:rsidR="00B021D3" w:rsidRPr="00E83C3D" w:rsidRDefault="00B021D3" w:rsidP="00B021D3">
            <w:pPr>
              <w:pStyle w:val="CommentText"/>
              <w:rPr>
                <w:rFonts w:cstheme="minorHAnsi"/>
                <w:sz w:val="22"/>
                <w:szCs w:val="22"/>
              </w:rPr>
            </w:pPr>
            <w:r w:rsidRPr="00E83C3D">
              <w:rPr>
                <w:rFonts w:cstheme="minorHAnsi"/>
                <w:sz w:val="22"/>
                <w:szCs w:val="22"/>
                <w:highlight w:val="yellow"/>
              </w:rPr>
              <w:t>An extensive consultation process is envisioned in this assignment (</w:t>
            </w:r>
            <w:proofErr w:type="spellStart"/>
            <w:r w:rsidRPr="00E83C3D">
              <w:rPr>
                <w:rFonts w:cstheme="minorHAnsi"/>
                <w:sz w:val="22"/>
                <w:szCs w:val="22"/>
                <w:highlight w:val="yellow"/>
              </w:rPr>
              <w:t>pl</w:t>
            </w:r>
            <w:proofErr w:type="spellEnd"/>
            <w:r w:rsidRPr="00E83C3D">
              <w:rPr>
                <w:rFonts w:cstheme="minorHAnsi"/>
                <w:sz w:val="22"/>
                <w:szCs w:val="22"/>
                <w:highlight w:val="yellow"/>
              </w:rPr>
              <w:t xml:space="preserve"> refer to Section 1.2(vi), 2.6, 2.8 and 2.9. “Stakeholders consultation output along with justification on recommended Draft Framework” (section 2.6) refers to the output document of Stakeholders’ consultation for deliverable at Section 2.7.  This Subsequently, will be one of the final deliverables, which will include </w:t>
            </w:r>
            <w:proofErr w:type="spellStart"/>
            <w:r w:rsidRPr="00E83C3D">
              <w:rPr>
                <w:rFonts w:cstheme="minorHAnsi"/>
                <w:sz w:val="22"/>
                <w:szCs w:val="22"/>
                <w:highlight w:val="yellow"/>
              </w:rPr>
              <w:t>interalia</w:t>
            </w:r>
            <w:proofErr w:type="spellEnd"/>
            <w:r w:rsidRPr="00E83C3D">
              <w:rPr>
                <w:rFonts w:cstheme="minorHAnsi"/>
                <w:sz w:val="22"/>
                <w:szCs w:val="22"/>
                <w:highlight w:val="yellow"/>
              </w:rPr>
              <w:t>, questions/suggestions from the stakeholders, received in writing or raised during the presentation to the Stakeholders (</w:t>
            </w:r>
            <w:proofErr w:type="spellStart"/>
            <w:r w:rsidRPr="00E83C3D">
              <w:rPr>
                <w:rFonts w:cstheme="minorHAnsi"/>
                <w:sz w:val="22"/>
                <w:szCs w:val="22"/>
                <w:highlight w:val="yellow"/>
              </w:rPr>
              <w:t>pl</w:t>
            </w:r>
            <w:proofErr w:type="spellEnd"/>
            <w:r w:rsidRPr="00E83C3D">
              <w:rPr>
                <w:rFonts w:cstheme="minorHAnsi"/>
                <w:sz w:val="22"/>
                <w:szCs w:val="22"/>
                <w:highlight w:val="yellow"/>
              </w:rPr>
              <w:t xml:space="preserve"> refer section 2.8); justification of incorporating the comments/suggestions or otherwise in the revised draft framework (</w:t>
            </w:r>
            <w:proofErr w:type="spellStart"/>
            <w:r w:rsidRPr="00E83C3D">
              <w:rPr>
                <w:rFonts w:cstheme="minorHAnsi"/>
                <w:sz w:val="22"/>
                <w:szCs w:val="22"/>
                <w:highlight w:val="yellow"/>
              </w:rPr>
              <w:t>pl</w:t>
            </w:r>
            <w:proofErr w:type="spellEnd"/>
            <w:r w:rsidRPr="00E83C3D">
              <w:rPr>
                <w:rFonts w:cstheme="minorHAnsi"/>
                <w:sz w:val="22"/>
                <w:szCs w:val="22"/>
                <w:highlight w:val="yellow"/>
              </w:rPr>
              <w:t xml:space="preserve"> refer section 2.9)</w:t>
            </w:r>
            <w:r w:rsidRPr="00E83C3D">
              <w:rPr>
                <w:rFonts w:cstheme="minorHAnsi"/>
                <w:sz w:val="22"/>
                <w:szCs w:val="22"/>
              </w:rPr>
              <w:t xml:space="preserve"> </w:t>
            </w:r>
          </w:p>
          <w:p w14:paraId="6D648641" w14:textId="67E576E9" w:rsidR="00B021D3" w:rsidRPr="00E83C3D" w:rsidRDefault="00B021D3" w:rsidP="00604A6E">
            <w:pPr>
              <w:spacing w:before="120" w:after="120"/>
              <w:rPr>
                <w:rFonts w:cstheme="minorHAnsi"/>
              </w:rPr>
            </w:pPr>
          </w:p>
        </w:tc>
      </w:tr>
      <w:tr w:rsidR="00F26F91" w:rsidRPr="00E83C3D" w14:paraId="417B880A" w14:textId="77777777" w:rsidTr="00604A6E">
        <w:tc>
          <w:tcPr>
            <w:tcW w:w="805" w:type="dxa"/>
          </w:tcPr>
          <w:p w14:paraId="654CDA35" w14:textId="77777777" w:rsidR="00F26F91" w:rsidRPr="00E83C3D" w:rsidRDefault="00F26F91" w:rsidP="00604A6E">
            <w:pPr>
              <w:spacing w:before="120" w:after="120"/>
              <w:jc w:val="center"/>
              <w:rPr>
                <w:rFonts w:cstheme="minorHAnsi"/>
              </w:rPr>
            </w:pPr>
            <w:r w:rsidRPr="00E83C3D">
              <w:rPr>
                <w:rFonts w:cstheme="minorHAnsi"/>
              </w:rPr>
              <w:lastRenderedPageBreak/>
              <w:t>5</w:t>
            </w:r>
          </w:p>
        </w:tc>
        <w:tc>
          <w:tcPr>
            <w:tcW w:w="1980" w:type="dxa"/>
          </w:tcPr>
          <w:p w14:paraId="505C18BE" w14:textId="77777777" w:rsidR="00F26F91" w:rsidRPr="00E83C3D" w:rsidRDefault="00F26F91" w:rsidP="00604A6E">
            <w:pPr>
              <w:spacing w:before="120" w:after="120"/>
              <w:rPr>
                <w:rFonts w:cstheme="minorHAnsi"/>
              </w:rPr>
            </w:pPr>
            <w:r w:rsidRPr="00E83C3D">
              <w:rPr>
                <w:rFonts w:cstheme="minorHAnsi"/>
              </w:rPr>
              <w:t>Section 4, Terms of Reference, Deliverables, 2.1</w:t>
            </w:r>
          </w:p>
        </w:tc>
        <w:tc>
          <w:tcPr>
            <w:tcW w:w="3150" w:type="dxa"/>
          </w:tcPr>
          <w:p w14:paraId="782E03AB" w14:textId="77777777" w:rsidR="00F26F91" w:rsidRPr="00E83C3D" w:rsidRDefault="00F26F91" w:rsidP="00604A6E">
            <w:pPr>
              <w:spacing w:before="120" w:after="120"/>
              <w:rPr>
                <w:rFonts w:cstheme="minorHAnsi"/>
              </w:rPr>
            </w:pPr>
            <w:r w:rsidRPr="00E83C3D">
              <w:rPr>
                <w:rFonts w:cstheme="minorHAnsi"/>
              </w:rPr>
              <w:t xml:space="preserve">An inception report with proposed work plan, templates of the intermediate and final reports, list of primary and secondary literature, list of stakeholders the consultant proposes to meet, plans for the </w:t>
            </w:r>
            <w:r w:rsidRPr="00E83C3D">
              <w:rPr>
                <w:rFonts w:cstheme="minorHAnsi"/>
              </w:rPr>
              <w:lastRenderedPageBreak/>
              <w:t xml:space="preserve">consultation process, and a detailed project plan with costing, technical assessment </w:t>
            </w:r>
            <w:proofErr w:type="gramStart"/>
            <w:r w:rsidRPr="00E83C3D">
              <w:rPr>
                <w:rFonts w:cstheme="minorHAnsi"/>
              </w:rPr>
              <w:t>report  and</w:t>
            </w:r>
            <w:proofErr w:type="gramEnd"/>
            <w:r w:rsidRPr="00E83C3D">
              <w:rPr>
                <w:rFonts w:cstheme="minorHAnsi"/>
              </w:rPr>
              <w:t xml:space="preserve"> timelines. This report will be finalized in consultation with the SBP.</w:t>
            </w:r>
          </w:p>
        </w:tc>
        <w:tc>
          <w:tcPr>
            <w:tcW w:w="3415" w:type="dxa"/>
          </w:tcPr>
          <w:p w14:paraId="1B3BB3C2" w14:textId="77777777" w:rsidR="00F26F91" w:rsidRPr="00E83C3D" w:rsidRDefault="00F26F91" w:rsidP="00604A6E">
            <w:pPr>
              <w:spacing w:before="120" w:after="120"/>
              <w:rPr>
                <w:rFonts w:cstheme="minorHAnsi"/>
              </w:rPr>
            </w:pPr>
            <w:r w:rsidRPr="00E83C3D">
              <w:rPr>
                <w:rFonts w:cstheme="minorHAnsi"/>
              </w:rPr>
              <w:lastRenderedPageBreak/>
              <w:t xml:space="preserve">Clarification is requested on what is meant by the terms </w:t>
            </w:r>
            <w:r w:rsidRPr="00E83C3D">
              <w:rPr>
                <w:rFonts w:cstheme="minorHAnsi"/>
                <w:i/>
              </w:rPr>
              <w:t>“list of primary and secondary literature”</w:t>
            </w:r>
            <w:r w:rsidRPr="00E83C3D">
              <w:rPr>
                <w:rFonts w:cstheme="minorHAnsi"/>
              </w:rPr>
              <w:t xml:space="preserve"> </w:t>
            </w:r>
          </w:p>
          <w:p w14:paraId="45C36480" w14:textId="77777777" w:rsidR="00B021D3" w:rsidRPr="00E83C3D" w:rsidRDefault="00B021D3" w:rsidP="00604A6E">
            <w:pPr>
              <w:spacing w:before="120" w:after="120"/>
              <w:rPr>
                <w:rFonts w:cstheme="minorHAnsi"/>
              </w:rPr>
            </w:pPr>
            <w:r w:rsidRPr="00E83C3D">
              <w:rPr>
                <w:rFonts w:cstheme="minorHAnsi"/>
              </w:rPr>
              <w:t>Reply:</w:t>
            </w:r>
          </w:p>
          <w:p w14:paraId="184F9E60" w14:textId="73F34F73" w:rsidR="00B021D3" w:rsidRPr="00E83C3D" w:rsidRDefault="00B021D3" w:rsidP="00604A6E">
            <w:pPr>
              <w:spacing w:before="120" w:after="120"/>
              <w:rPr>
                <w:rFonts w:cstheme="minorHAnsi"/>
              </w:rPr>
            </w:pPr>
            <w:r w:rsidRPr="00E83C3D">
              <w:rPr>
                <w:rFonts w:cstheme="minorHAnsi"/>
                <w:highlight w:val="yellow"/>
              </w:rPr>
              <w:t xml:space="preserve">This refers to a list of laws/regulations and other </w:t>
            </w:r>
            <w:r w:rsidRPr="00E83C3D">
              <w:rPr>
                <w:rFonts w:cstheme="minorHAnsi"/>
                <w:highlight w:val="yellow"/>
              </w:rPr>
              <w:lastRenderedPageBreak/>
              <w:t>relevant documents to be reviewed including existing relevant laws and regulations (applicable in Pakistan and other focus jurisdictions).</w:t>
            </w:r>
          </w:p>
        </w:tc>
      </w:tr>
      <w:tr w:rsidR="00F26F91" w:rsidRPr="00E83C3D" w14:paraId="297CF1BB" w14:textId="77777777" w:rsidTr="00604A6E">
        <w:tc>
          <w:tcPr>
            <w:tcW w:w="805" w:type="dxa"/>
          </w:tcPr>
          <w:p w14:paraId="3B1EC631" w14:textId="77777777" w:rsidR="00F26F91" w:rsidRPr="00E83C3D" w:rsidRDefault="00F26F91" w:rsidP="00604A6E">
            <w:pPr>
              <w:spacing w:before="120" w:after="120"/>
              <w:jc w:val="center"/>
              <w:rPr>
                <w:rFonts w:cstheme="minorHAnsi"/>
              </w:rPr>
            </w:pPr>
            <w:r w:rsidRPr="00E83C3D">
              <w:rPr>
                <w:rFonts w:cstheme="minorHAnsi"/>
              </w:rPr>
              <w:lastRenderedPageBreak/>
              <w:t>6</w:t>
            </w:r>
          </w:p>
        </w:tc>
        <w:tc>
          <w:tcPr>
            <w:tcW w:w="1980" w:type="dxa"/>
          </w:tcPr>
          <w:p w14:paraId="26A6287C" w14:textId="77777777" w:rsidR="00F26F91" w:rsidRPr="00E83C3D" w:rsidRDefault="00F26F91" w:rsidP="00604A6E">
            <w:pPr>
              <w:spacing w:before="120" w:after="120"/>
              <w:rPr>
                <w:rFonts w:cstheme="minorHAnsi"/>
              </w:rPr>
            </w:pPr>
            <w:r w:rsidRPr="00E83C3D">
              <w:rPr>
                <w:rFonts w:cstheme="minorHAnsi"/>
              </w:rPr>
              <w:t>Section 4, Terms of Reference, Deliverables, 2.1</w:t>
            </w:r>
          </w:p>
        </w:tc>
        <w:tc>
          <w:tcPr>
            <w:tcW w:w="3150" w:type="dxa"/>
          </w:tcPr>
          <w:p w14:paraId="4F6BD8FD" w14:textId="77777777" w:rsidR="00F26F91" w:rsidRPr="00E83C3D" w:rsidRDefault="00F26F91" w:rsidP="00604A6E">
            <w:pPr>
              <w:spacing w:before="120" w:after="120"/>
              <w:rPr>
                <w:rFonts w:cstheme="minorHAnsi"/>
              </w:rPr>
            </w:pPr>
            <w:r w:rsidRPr="00E83C3D">
              <w:rPr>
                <w:rFonts w:cstheme="minorHAnsi"/>
              </w:rPr>
              <w:t xml:space="preserve">An inception report with proposed work plan, templates of the intermediate and final reports, list of primary and secondary literature, list of stakeholders the consultant proposes to meet, plans for the consultation process, and a detailed project plan with costing, technical assessment </w:t>
            </w:r>
            <w:proofErr w:type="gramStart"/>
            <w:r w:rsidRPr="00E83C3D">
              <w:rPr>
                <w:rFonts w:cstheme="minorHAnsi"/>
              </w:rPr>
              <w:t>report  and</w:t>
            </w:r>
            <w:proofErr w:type="gramEnd"/>
            <w:r w:rsidRPr="00E83C3D">
              <w:rPr>
                <w:rFonts w:cstheme="minorHAnsi"/>
              </w:rPr>
              <w:t xml:space="preserve"> timelines. This report will be finalized in consultation with the SBP.</w:t>
            </w:r>
          </w:p>
        </w:tc>
        <w:tc>
          <w:tcPr>
            <w:tcW w:w="3415" w:type="dxa"/>
          </w:tcPr>
          <w:p w14:paraId="7B05D309" w14:textId="77777777" w:rsidR="00F26F91" w:rsidRPr="00E83C3D" w:rsidRDefault="00F26F91" w:rsidP="00604A6E">
            <w:pPr>
              <w:spacing w:before="120" w:after="120"/>
              <w:rPr>
                <w:rFonts w:cstheme="minorHAnsi"/>
              </w:rPr>
            </w:pPr>
            <w:r w:rsidRPr="00E83C3D">
              <w:rPr>
                <w:rFonts w:cstheme="minorHAnsi"/>
              </w:rPr>
              <w:t xml:space="preserve">Clarification is requested on what is meant by the terms </w:t>
            </w:r>
            <w:r w:rsidRPr="00E83C3D">
              <w:rPr>
                <w:rFonts w:cstheme="minorHAnsi"/>
                <w:i/>
              </w:rPr>
              <w:t xml:space="preserve">“technical assessment report” </w:t>
            </w:r>
            <w:r w:rsidRPr="00E83C3D">
              <w:rPr>
                <w:rFonts w:cstheme="minorHAnsi"/>
              </w:rPr>
              <w:t>at the stage of submission of the Inception Report</w:t>
            </w:r>
          </w:p>
          <w:p w14:paraId="6934BDB7" w14:textId="77777777" w:rsidR="00B021D3" w:rsidRPr="00E83C3D" w:rsidRDefault="00B021D3" w:rsidP="00604A6E">
            <w:pPr>
              <w:spacing w:before="120" w:after="120"/>
              <w:rPr>
                <w:rFonts w:cstheme="minorHAnsi"/>
              </w:rPr>
            </w:pPr>
            <w:r w:rsidRPr="00E83C3D">
              <w:rPr>
                <w:rFonts w:cstheme="minorHAnsi"/>
              </w:rPr>
              <w:t>Reply:</w:t>
            </w:r>
          </w:p>
          <w:p w14:paraId="777047BC" w14:textId="275F0247" w:rsidR="00B021D3" w:rsidRPr="00E83C3D" w:rsidRDefault="00B021D3" w:rsidP="00604A6E">
            <w:pPr>
              <w:spacing w:before="120" w:after="120"/>
              <w:rPr>
                <w:rFonts w:cstheme="minorHAnsi"/>
              </w:rPr>
            </w:pPr>
            <w:r w:rsidRPr="00E83C3D">
              <w:rPr>
                <w:rFonts w:cstheme="minorHAnsi"/>
                <w:highlight w:val="yellow"/>
              </w:rPr>
              <w:t>Technical Assessment Report is not required here.</w:t>
            </w:r>
          </w:p>
        </w:tc>
      </w:tr>
      <w:tr w:rsidR="00F26F91" w:rsidRPr="00E83C3D" w14:paraId="0B4EA573" w14:textId="77777777" w:rsidTr="00604A6E">
        <w:tc>
          <w:tcPr>
            <w:tcW w:w="805" w:type="dxa"/>
          </w:tcPr>
          <w:p w14:paraId="39526548" w14:textId="77777777" w:rsidR="00F26F91" w:rsidRPr="00E83C3D" w:rsidRDefault="00F26F91" w:rsidP="00604A6E">
            <w:pPr>
              <w:spacing w:before="120" w:after="120"/>
              <w:jc w:val="center"/>
              <w:rPr>
                <w:rFonts w:cstheme="minorHAnsi"/>
              </w:rPr>
            </w:pPr>
            <w:r w:rsidRPr="00E83C3D">
              <w:rPr>
                <w:rFonts w:cstheme="minorHAnsi"/>
              </w:rPr>
              <w:t>7</w:t>
            </w:r>
          </w:p>
        </w:tc>
        <w:tc>
          <w:tcPr>
            <w:tcW w:w="1980" w:type="dxa"/>
          </w:tcPr>
          <w:p w14:paraId="29044689" w14:textId="77777777" w:rsidR="00F26F91" w:rsidRPr="00E83C3D" w:rsidRDefault="00F26F91" w:rsidP="00604A6E">
            <w:pPr>
              <w:spacing w:before="120" w:after="120"/>
              <w:rPr>
                <w:rFonts w:cstheme="minorHAnsi"/>
              </w:rPr>
            </w:pPr>
            <w:r w:rsidRPr="00E83C3D">
              <w:rPr>
                <w:rFonts w:cstheme="minorHAnsi"/>
              </w:rPr>
              <w:t>Section 4, Terms of Reference, Timelines, 3.1</w:t>
            </w:r>
          </w:p>
        </w:tc>
        <w:tc>
          <w:tcPr>
            <w:tcW w:w="3150" w:type="dxa"/>
          </w:tcPr>
          <w:p w14:paraId="2412C545" w14:textId="77777777" w:rsidR="00F26F91" w:rsidRPr="00E83C3D" w:rsidRDefault="00F26F91" w:rsidP="00604A6E">
            <w:pPr>
              <w:spacing w:before="120" w:after="120"/>
              <w:rPr>
                <w:rFonts w:cstheme="minorHAnsi"/>
              </w:rPr>
            </w:pPr>
            <w:r w:rsidRPr="00E83C3D">
              <w:rPr>
                <w:rFonts w:cstheme="minorHAnsi"/>
              </w:rPr>
              <w:t>It is expected that the project will be completed in six months, including the surveys  and stakeholders’ consultation process</w:t>
            </w:r>
          </w:p>
        </w:tc>
        <w:tc>
          <w:tcPr>
            <w:tcW w:w="3415" w:type="dxa"/>
          </w:tcPr>
          <w:p w14:paraId="2AD01C9B" w14:textId="77777777" w:rsidR="00B021D3" w:rsidRPr="00E83C3D" w:rsidRDefault="00F26F91" w:rsidP="00604A6E">
            <w:pPr>
              <w:spacing w:before="120" w:after="120"/>
              <w:rPr>
                <w:rFonts w:cstheme="minorHAnsi"/>
              </w:rPr>
            </w:pPr>
            <w:r w:rsidRPr="00E83C3D">
              <w:rPr>
                <w:rFonts w:cstheme="minorHAnsi"/>
              </w:rPr>
              <w:t xml:space="preserve">Information is requested on whether responses to surveys would only be restricted from members of steering committee and working group members? Can the consultant seek responses to surveys from any other stakeholder as they deem fit? </w:t>
            </w:r>
          </w:p>
          <w:p w14:paraId="2E2B0A82" w14:textId="77777777" w:rsidR="00B021D3" w:rsidRPr="00E83C3D" w:rsidRDefault="00B021D3" w:rsidP="00604A6E">
            <w:pPr>
              <w:spacing w:before="120" w:after="120"/>
              <w:rPr>
                <w:rFonts w:cstheme="minorHAnsi"/>
              </w:rPr>
            </w:pPr>
            <w:r w:rsidRPr="00E83C3D">
              <w:rPr>
                <w:rFonts w:cstheme="minorHAnsi"/>
              </w:rPr>
              <w:t>Reply:</w:t>
            </w:r>
          </w:p>
          <w:p w14:paraId="7F26B730" w14:textId="443EEA1A" w:rsidR="00F26F91" w:rsidRPr="00E83C3D" w:rsidRDefault="00B021D3" w:rsidP="00604A6E">
            <w:pPr>
              <w:spacing w:before="120" w:after="120"/>
              <w:rPr>
                <w:rFonts w:cstheme="minorHAnsi"/>
              </w:rPr>
            </w:pPr>
            <w:r w:rsidRPr="00E83C3D">
              <w:rPr>
                <w:rFonts w:cstheme="minorHAnsi"/>
                <w:highlight w:val="yellow"/>
              </w:rPr>
              <w:t xml:space="preserve">Consultant can seek responses from any stakeholder, which will be finalized as per section 2.1. </w:t>
            </w:r>
          </w:p>
        </w:tc>
      </w:tr>
      <w:tr w:rsidR="00F26F91" w:rsidRPr="00E83C3D" w14:paraId="77BCD90D" w14:textId="77777777" w:rsidTr="00604A6E">
        <w:tc>
          <w:tcPr>
            <w:tcW w:w="805" w:type="dxa"/>
          </w:tcPr>
          <w:p w14:paraId="632DEDBD" w14:textId="77777777" w:rsidR="00F26F91" w:rsidRPr="00E83C3D" w:rsidRDefault="00F26F91" w:rsidP="00604A6E">
            <w:pPr>
              <w:spacing w:before="120" w:after="120"/>
              <w:jc w:val="center"/>
              <w:rPr>
                <w:rFonts w:cstheme="minorHAnsi"/>
              </w:rPr>
            </w:pPr>
            <w:r w:rsidRPr="00E83C3D">
              <w:rPr>
                <w:rFonts w:cstheme="minorHAnsi"/>
              </w:rPr>
              <w:t>8</w:t>
            </w:r>
          </w:p>
        </w:tc>
        <w:tc>
          <w:tcPr>
            <w:tcW w:w="1980" w:type="dxa"/>
          </w:tcPr>
          <w:p w14:paraId="74065801" w14:textId="77777777" w:rsidR="00F26F91" w:rsidRPr="00E83C3D" w:rsidRDefault="00F26F91" w:rsidP="00604A6E">
            <w:pPr>
              <w:spacing w:before="120" w:after="120"/>
              <w:rPr>
                <w:rFonts w:cstheme="minorHAnsi"/>
              </w:rPr>
            </w:pPr>
            <w:r w:rsidRPr="00E83C3D">
              <w:rPr>
                <w:rFonts w:cstheme="minorHAnsi"/>
              </w:rPr>
              <w:t>Section 4, Terms of Reference, Timelines, 3.1</w:t>
            </w:r>
          </w:p>
        </w:tc>
        <w:tc>
          <w:tcPr>
            <w:tcW w:w="3150" w:type="dxa"/>
          </w:tcPr>
          <w:p w14:paraId="326B113B" w14:textId="77777777" w:rsidR="00F26F91" w:rsidRPr="00E83C3D" w:rsidRDefault="00F26F91" w:rsidP="00604A6E">
            <w:pPr>
              <w:spacing w:before="120" w:after="120"/>
              <w:rPr>
                <w:rFonts w:cstheme="minorHAnsi"/>
              </w:rPr>
            </w:pPr>
            <w:r w:rsidRPr="00E83C3D">
              <w:rPr>
                <w:rFonts w:cstheme="minorHAnsi"/>
              </w:rPr>
              <w:t xml:space="preserve">Timeline (expected date of milestone) </w:t>
            </w:r>
          </w:p>
        </w:tc>
        <w:tc>
          <w:tcPr>
            <w:tcW w:w="3415" w:type="dxa"/>
          </w:tcPr>
          <w:p w14:paraId="5B80E1BB" w14:textId="77777777" w:rsidR="00F26F91" w:rsidRPr="00E83C3D" w:rsidRDefault="00F26F91" w:rsidP="00604A6E">
            <w:pPr>
              <w:spacing w:before="120" w:after="120"/>
              <w:rPr>
                <w:rFonts w:cstheme="minorHAnsi"/>
              </w:rPr>
            </w:pPr>
            <w:r w:rsidRPr="00E83C3D">
              <w:rPr>
                <w:rFonts w:cstheme="minorHAnsi"/>
              </w:rPr>
              <w:t>Is there a possibility that the timelines for some project milestones be extended beyond the expected timelines mentioned within the RFP?</w:t>
            </w:r>
          </w:p>
          <w:p w14:paraId="1D019CCE" w14:textId="38FEFE1E" w:rsidR="00111A89" w:rsidRPr="00E83C3D" w:rsidRDefault="00111A89" w:rsidP="00604A6E">
            <w:pPr>
              <w:spacing w:before="120" w:after="120"/>
              <w:rPr>
                <w:rFonts w:cstheme="minorHAnsi"/>
              </w:rPr>
            </w:pPr>
            <w:r w:rsidRPr="00E83C3D">
              <w:rPr>
                <w:rFonts w:cstheme="minorHAnsi"/>
              </w:rPr>
              <w:t>Reply:</w:t>
            </w:r>
          </w:p>
          <w:p w14:paraId="5080C971" w14:textId="2967A003" w:rsidR="00111A89" w:rsidRPr="00E83C3D" w:rsidRDefault="00111A89" w:rsidP="00604A6E">
            <w:pPr>
              <w:spacing w:before="120" w:after="120"/>
              <w:rPr>
                <w:rFonts w:cstheme="minorHAnsi"/>
              </w:rPr>
            </w:pPr>
            <w:r w:rsidRPr="00E83C3D">
              <w:rPr>
                <w:rFonts w:cstheme="minorHAnsi"/>
                <w:highlight w:val="yellow"/>
              </w:rPr>
              <w:t xml:space="preserve">Please refer to Section 3.1; the tentative delivery timelines and milestone are subject to the formal </w:t>
            </w:r>
            <w:r w:rsidRPr="00E83C3D">
              <w:rPr>
                <w:rFonts w:cstheme="minorHAnsi"/>
                <w:highlight w:val="yellow"/>
              </w:rPr>
              <w:lastRenderedPageBreak/>
              <w:t>approval by the Project Steering Committee. Consultant may comment on the deadlines as per Section 10(1</w:t>
            </w:r>
            <w:proofErr w:type="gramStart"/>
            <w:r w:rsidRPr="00E83C3D">
              <w:rPr>
                <w:rFonts w:cstheme="minorHAnsi"/>
                <w:highlight w:val="yellow"/>
              </w:rPr>
              <w:t>)(</w:t>
            </w:r>
            <w:proofErr w:type="gramEnd"/>
            <w:r w:rsidRPr="00E83C3D">
              <w:rPr>
                <w:rFonts w:cstheme="minorHAnsi"/>
                <w:highlight w:val="yellow"/>
              </w:rPr>
              <w:t>ii).</w:t>
            </w:r>
          </w:p>
        </w:tc>
      </w:tr>
      <w:tr w:rsidR="00F26F91" w:rsidRPr="00E83C3D" w14:paraId="535B5FDA" w14:textId="77777777" w:rsidTr="00604A6E">
        <w:tc>
          <w:tcPr>
            <w:tcW w:w="805" w:type="dxa"/>
          </w:tcPr>
          <w:p w14:paraId="22DFC23C" w14:textId="77777777" w:rsidR="00F26F91" w:rsidRPr="00E83C3D" w:rsidRDefault="00F26F91" w:rsidP="00604A6E">
            <w:pPr>
              <w:spacing w:before="120" w:after="120"/>
              <w:jc w:val="center"/>
              <w:rPr>
                <w:rFonts w:cstheme="minorHAnsi"/>
              </w:rPr>
            </w:pPr>
            <w:r w:rsidRPr="00E83C3D">
              <w:rPr>
                <w:rFonts w:cstheme="minorHAnsi"/>
              </w:rPr>
              <w:lastRenderedPageBreak/>
              <w:t>9</w:t>
            </w:r>
          </w:p>
        </w:tc>
        <w:tc>
          <w:tcPr>
            <w:tcW w:w="1980" w:type="dxa"/>
          </w:tcPr>
          <w:p w14:paraId="7D2B2AAB" w14:textId="77777777" w:rsidR="00F26F91" w:rsidRPr="00E83C3D" w:rsidRDefault="00F26F91" w:rsidP="00604A6E">
            <w:pPr>
              <w:spacing w:before="120" w:after="120"/>
              <w:rPr>
                <w:rFonts w:cstheme="minorHAnsi"/>
              </w:rPr>
            </w:pPr>
            <w:r w:rsidRPr="00E83C3D">
              <w:rPr>
                <w:rFonts w:cstheme="minorHAnsi"/>
              </w:rPr>
              <w:t>Section 4, Terms of Reference, Timelines, 3.2</w:t>
            </w:r>
          </w:p>
        </w:tc>
        <w:tc>
          <w:tcPr>
            <w:tcW w:w="3150" w:type="dxa"/>
          </w:tcPr>
          <w:p w14:paraId="7C10EF22" w14:textId="77777777" w:rsidR="00F26F91" w:rsidRPr="00E83C3D" w:rsidRDefault="00F26F91" w:rsidP="00604A6E">
            <w:pPr>
              <w:spacing w:before="120" w:after="120"/>
              <w:rPr>
                <w:rFonts w:cstheme="minorHAnsi"/>
              </w:rPr>
            </w:pPr>
            <w:r w:rsidRPr="00E83C3D">
              <w:rPr>
                <w:rFonts w:cstheme="minorHAnsi"/>
              </w:rPr>
              <w:t>While processing the first batch of applications for Digital Banks in Pakistan, the consultant shall be available to address the queries of SBP, if any, for conducting due diligence of the first Digital Bank proposal</w:t>
            </w:r>
          </w:p>
        </w:tc>
        <w:tc>
          <w:tcPr>
            <w:tcW w:w="3415" w:type="dxa"/>
          </w:tcPr>
          <w:p w14:paraId="30B2E5DC" w14:textId="77777777" w:rsidR="00F26F91" w:rsidRPr="00E83C3D" w:rsidRDefault="00F26F91" w:rsidP="00604A6E">
            <w:pPr>
              <w:spacing w:before="120" w:after="120"/>
              <w:rPr>
                <w:rFonts w:cstheme="minorHAnsi"/>
              </w:rPr>
            </w:pPr>
            <w:r w:rsidRPr="00E83C3D">
              <w:rPr>
                <w:rFonts w:cstheme="minorHAnsi"/>
              </w:rPr>
              <w:t>Clarification is required on whether our availability will be required to address SBP queries if any, for conducting due diligence of the first digital bank proposal within the first batch of applications for digital banks that it receives, or for all applicants within the first batch.</w:t>
            </w:r>
          </w:p>
          <w:p w14:paraId="5A290229" w14:textId="77777777" w:rsidR="00F26F91" w:rsidRPr="00E83C3D" w:rsidRDefault="00F26F91" w:rsidP="00604A6E">
            <w:pPr>
              <w:spacing w:before="120" w:after="120"/>
              <w:rPr>
                <w:rFonts w:cstheme="minorHAnsi"/>
              </w:rPr>
            </w:pPr>
            <w:r w:rsidRPr="00E83C3D">
              <w:rPr>
                <w:rFonts w:cstheme="minorHAnsi"/>
              </w:rPr>
              <w:t xml:space="preserve">Information is requested on the estimated number of applications for the first batch of applications of digital banks in Pakistan. </w:t>
            </w:r>
          </w:p>
          <w:p w14:paraId="4B11C069" w14:textId="77777777" w:rsidR="00F26F91" w:rsidRPr="00E83C3D" w:rsidRDefault="00F26F91" w:rsidP="00604A6E">
            <w:pPr>
              <w:spacing w:before="120" w:after="120"/>
              <w:rPr>
                <w:rFonts w:cstheme="minorHAnsi"/>
              </w:rPr>
            </w:pPr>
            <w:r w:rsidRPr="00E83C3D">
              <w:rPr>
                <w:rFonts w:cstheme="minorHAnsi"/>
              </w:rPr>
              <w:t>Is the requirement to be available to address the queries of SBP, if any, for conducting due diligence of the first Digital Bank proposal beyond three (3) months from the successful completion of the project?</w:t>
            </w:r>
          </w:p>
          <w:p w14:paraId="66F6559C" w14:textId="77777777" w:rsidR="00111A89" w:rsidRPr="00E83C3D" w:rsidRDefault="00111A89" w:rsidP="00604A6E">
            <w:pPr>
              <w:spacing w:before="120" w:after="120"/>
              <w:rPr>
                <w:rFonts w:cstheme="minorHAnsi"/>
              </w:rPr>
            </w:pPr>
            <w:r w:rsidRPr="00E83C3D">
              <w:rPr>
                <w:rFonts w:cstheme="minorHAnsi"/>
              </w:rPr>
              <w:t>Reply:</w:t>
            </w:r>
          </w:p>
          <w:p w14:paraId="621F32A8" w14:textId="1099B17C" w:rsidR="0095704A" w:rsidRPr="00E83C3D" w:rsidRDefault="0095704A" w:rsidP="0095704A">
            <w:pPr>
              <w:pStyle w:val="CommentText"/>
              <w:numPr>
                <w:ilvl w:val="0"/>
                <w:numId w:val="4"/>
              </w:numPr>
              <w:rPr>
                <w:rFonts w:cstheme="minorHAnsi"/>
                <w:sz w:val="22"/>
                <w:szCs w:val="22"/>
                <w:highlight w:val="yellow"/>
              </w:rPr>
            </w:pPr>
            <w:r w:rsidRPr="00E83C3D">
              <w:rPr>
                <w:rFonts w:cstheme="minorHAnsi"/>
                <w:sz w:val="22"/>
                <w:szCs w:val="22"/>
                <w:highlight w:val="yellow"/>
              </w:rPr>
              <w:t xml:space="preserve">Section 3.2 indicates that Consultant shall remain accessible </w:t>
            </w:r>
            <w:r w:rsidR="004136F0">
              <w:rPr>
                <w:rFonts w:cstheme="minorHAnsi"/>
                <w:sz w:val="22"/>
                <w:szCs w:val="22"/>
                <w:highlight w:val="yellow"/>
              </w:rPr>
              <w:t>to</w:t>
            </w:r>
            <w:r w:rsidRPr="00E83C3D">
              <w:rPr>
                <w:rFonts w:cstheme="minorHAnsi"/>
                <w:sz w:val="22"/>
                <w:szCs w:val="22"/>
                <w:highlight w:val="yellow"/>
              </w:rPr>
              <w:t xml:space="preserve"> SBP for an ‘additional” 3 months to provide answers to SBP queries raised while completing the </w:t>
            </w:r>
            <w:proofErr w:type="spellStart"/>
            <w:r w:rsidRPr="00E83C3D">
              <w:rPr>
                <w:rFonts w:cstheme="minorHAnsi"/>
                <w:sz w:val="22"/>
                <w:szCs w:val="22"/>
                <w:highlight w:val="yellow"/>
              </w:rPr>
              <w:t>codal</w:t>
            </w:r>
            <w:proofErr w:type="spellEnd"/>
            <w:r w:rsidRPr="00E83C3D">
              <w:rPr>
                <w:rFonts w:cstheme="minorHAnsi"/>
                <w:sz w:val="22"/>
                <w:szCs w:val="22"/>
                <w:highlight w:val="yellow"/>
              </w:rPr>
              <w:t xml:space="preserve"> formalities for postulating the Regulatory Framework for Digital Banks in Pakistan. </w:t>
            </w:r>
          </w:p>
          <w:p w14:paraId="7244C58B" w14:textId="15A891FC" w:rsidR="00111A89" w:rsidRPr="00E83C3D" w:rsidRDefault="004136F0" w:rsidP="004136F0">
            <w:pPr>
              <w:pStyle w:val="CommentText"/>
              <w:numPr>
                <w:ilvl w:val="0"/>
                <w:numId w:val="4"/>
              </w:numPr>
              <w:rPr>
                <w:rFonts w:cstheme="minorHAnsi"/>
                <w:sz w:val="22"/>
                <w:szCs w:val="22"/>
              </w:rPr>
            </w:pPr>
            <w:r>
              <w:rPr>
                <w:rFonts w:cstheme="minorHAnsi"/>
                <w:sz w:val="22"/>
                <w:szCs w:val="22"/>
                <w:highlight w:val="yellow"/>
              </w:rPr>
              <w:t>SBP, w</w:t>
            </w:r>
            <w:r w:rsidRPr="00E83C3D">
              <w:rPr>
                <w:rFonts w:cstheme="minorHAnsi"/>
                <w:sz w:val="22"/>
                <w:szCs w:val="22"/>
                <w:highlight w:val="yellow"/>
              </w:rPr>
              <w:t xml:space="preserve">hile </w:t>
            </w:r>
            <w:r>
              <w:rPr>
                <w:rFonts w:cstheme="minorHAnsi"/>
                <w:sz w:val="22"/>
                <w:szCs w:val="22"/>
                <w:highlight w:val="yellow"/>
              </w:rPr>
              <w:t>reviewing the first batch of applications, may also require</w:t>
            </w:r>
            <w:r w:rsidR="0095704A" w:rsidRPr="00E83C3D">
              <w:rPr>
                <w:rFonts w:cstheme="minorHAnsi"/>
                <w:sz w:val="22"/>
                <w:szCs w:val="22"/>
                <w:highlight w:val="yellow"/>
              </w:rPr>
              <w:t xml:space="preserve"> Consultant </w:t>
            </w:r>
            <w:r>
              <w:rPr>
                <w:rFonts w:cstheme="minorHAnsi"/>
                <w:sz w:val="22"/>
                <w:szCs w:val="22"/>
                <w:highlight w:val="yellow"/>
              </w:rPr>
              <w:t>to provide answers of the SBP queries</w:t>
            </w:r>
            <w:r w:rsidR="0095704A" w:rsidRPr="00E83C3D">
              <w:rPr>
                <w:rFonts w:cstheme="minorHAnsi"/>
                <w:sz w:val="22"/>
                <w:szCs w:val="22"/>
                <w:highlight w:val="yellow"/>
              </w:rPr>
              <w:t>,</w:t>
            </w:r>
            <w:r>
              <w:rPr>
                <w:rFonts w:cstheme="minorHAnsi"/>
                <w:sz w:val="22"/>
                <w:szCs w:val="22"/>
                <w:highlight w:val="yellow"/>
              </w:rPr>
              <w:t xml:space="preserve"> if required,</w:t>
            </w:r>
            <w:r w:rsidR="0095704A" w:rsidRPr="00E83C3D">
              <w:rPr>
                <w:rFonts w:cstheme="minorHAnsi"/>
                <w:sz w:val="22"/>
                <w:szCs w:val="22"/>
                <w:highlight w:val="yellow"/>
              </w:rPr>
              <w:t xml:space="preserve"> which may go beyond 3-month timeline.</w:t>
            </w:r>
          </w:p>
        </w:tc>
      </w:tr>
    </w:tbl>
    <w:p w14:paraId="73791FDC" w14:textId="77777777" w:rsidR="00F26F91" w:rsidRPr="00E83C3D" w:rsidRDefault="00F26F91" w:rsidP="00F26F91">
      <w:pPr>
        <w:shd w:val="clear" w:color="auto" w:fill="FFFFFF"/>
        <w:spacing w:after="0" w:line="240" w:lineRule="auto"/>
        <w:rPr>
          <w:rFonts w:eastAsia="Times New Roman" w:cstheme="minorHAnsi"/>
          <w:color w:val="222222"/>
        </w:rPr>
      </w:pPr>
    </w:p>
    <w:p w14:paraId="08C829D2" w14:textId="77777777" w:rsidR="00F26F91" w:rsidRPr="00E83C3D" w:rsidRDefault="00F26F91" w:rsidP="00F26F91">
      <w:pPr>
        <w:shd w:val="clear" w:color="auto" w:fill="FFFFFF"/>
        <w:spacing w:after="0" w:line="240" w:lineRule="auto"/>
        <w:rPr>
          <w:rFonts w:eastAsia="Times New Roman" w:cstheme="minorHAnsi"/>
          <w:color w:val="222222"/>
        </w:rPr>
      </w:pPr>
    </w:p>
    <w:p w14:paraId="01F90A2D" w14:textId="53CAB83F"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 xml:space="preserve">In your view, how do the challenges of regulating digital banks differ from those relating to conventional banks? </w:t>
      </w:r>
    </w:p>
    <w:p w14:paraId="230B36E2" w14:textId="6BADFF8E" w:rsidR="0030194B" w:rsidRPr="00E83C3D" w:rsidRDefault="0030194B" w:rsidP="0030194B">
      <w:pPr>
        <w:pStyle w:val="ListParagraph"/>
        <w:shd w:val="clear" w:color="auto" w:fill="FFFFFF"/>
        <w:spacing w:after="0" w:line="240" w:lineRule="auto"/>
        <w:rPr>
          <w:rFonts w:eastAsia="Times New Roman" w:cstheme="minorHAnsi"/>
          <w:color w:val="222222"/>
          <w:highlight w:val="yellow"/>
        </w:rPr>
      </w:pPr>
      <w:r w:rsidRPr="00E83C3D">
        <w:rPr>
          <w:rFonts w:eastAsia="Times New Roman" w:cstheme="minorHAnsi"/>
          <w:color w:val="222222"/>
          <w:highlight w:val="yellow"/>
        </w:rPr>
        <w:t>(Please refer to Scope of Work:</w:t>
      </w:r>
      <w:r w:rsidRPr="00E83C3D">
        <w:rPr>
          <w:rFonts w:eastAsia="Times New Roman" w:cstheme="minorHAnsi"/>
          <w:color w:val="222222"/>
        </w:rPr>
        <w:t xml:space="preserve"> </w:t>
      </w:r>
      <w:r w:rsidRPr="00E83C3D">
        <w:rPr>
          <w:rFonts w:eastAsia="Times New Roman" w:cstheme="minorHAnsi"/>
          <w:color w:val="222222"/>
          <w:highlight w:val="yellow"/>
        </w:rPr>
        <w:t>As per Section 1.2 (v), this will be the part of Comprehensive recommendations made by the Consultants 1.2(vii).</w:t>
      </w:r>
    </w:p>
    <w:p w14:paraId="429C1285" w14:textId="77777777" w:rsidR="0030194B" w:rsidRPr="00E83C3D" w:rsidRDefault="0030194B" w:rsidP="0030194B">
      <w:pPr>
        <w:pStyle w:val="ListParagraph"/>
        <w:shd w:val="clear" w:color="auto" w:fill="FFFFFF"/>
        <w:spacing w:after="0" w:line="240" w:lineRule="auto"/>
        <w:rPr>
          <w:rFonts w:eastAsia="Times New Roman" w:cstheme="minorHAnsi"/>
          <w:color w:val="222222"/>
        </w:rPr>
      </w:pPr>
    </w:p>
    <w:p w14:paraId="4A080C41" w14:textId="4E4881B8"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Is State Bank of Pakistan envisioning totally different legislation for digital banks from existing banks? Or is digital banking seen as part of the existing banking framework?</w:t>
      </w:r>
    </w:p>
    <w:p w14:paraId="4EA550CD" w14:textId="6E2F323D" w:rsidR="0030194B" w:rsidRPr="00E83C3D" w:rsidRDefault="0030194B" w:rsidP="0030194B">
      <w:pPr>
        <w:pStyle w:val="ListParagraph"/>
        <w:shd w:val="clear" w:color="auto" w:fill="FFFFFF"/>
        <w:spacing w:after="0" w:line="240" w:lineRule="auto"/>
        <w:rPr>
          <w:rFonts w:eastAsia="Times New Roman" w:cstheme="minorHAnsi"/>
          <w:color w:val="222222"/>
          <w:highlight w:val="yellow"/>
        </w:rPr>
      </w:pPr>
      <w:r w:rsidRPr="00E83C3D">
        <w:rPr>
          <w:rFonts w:eastAsia="Times New Roman" w:cstheme="minorHAnsi"/>
          <w:color w:val="222222"/>
          <w:highlight w:val="yellow"/>
        </w:rPr>
        <w:t>(Please refer to Scope of Work: “… SBP has already been working to introduce a separate category of banking services through promulgation of Framework for Digital Banks in Pakistan.”</w:t>
      </w:r>
    </w:p>
    <w:p w14:paraId="23A736D6" w14:textId="58763FCB" w:rsidR="0030194B" w:rsidRPr="00E83C3D" w:rsidRDefault="0030194B" w:rsidP="0030194B">
      <w:pPr>
        <w:pStyle w:val="ListParagraph"/>
        <w:shd w:val="clear" w:color="auto" w:fill="FFFFFF"/>
        <w:spacing w:after="0" w:line="240" w:lineRule="auto"/>
        <w:rPr>
          <w:rFonts w:eastAsia="Times New Roman" w:cstheme="minorHAnsi"/>
          <w:color w:val="222222"/>
          <w:highlight w:val="yellow"/>
        </w:rPr>
      </w:pPr>
      <w:r w:rsidRPr="00E83C3D">
        <w:rPr>
          <w:rFonts w:eastAsia="Times New Roman" w:cstheme="minorHAnsi"/>
          <w:color w:val="222222"/>
          <w:highlight w:val="yellow"/>
        </w:rPr>
        <w:t>As per Section 1.2(vii), comprehensive recommendations will be made by the consultant.</w:t>
      </w:r>
    </w:p>
    <w:p w14:paraId="2298A4F5" w14:textId="77777777" w:rsidR="0030194B" w:rsidRPr="00E83C3D" w:rsidRDefault="0030194B" w:rsidP="0030194B">
      <w:pPr>
        <w:pStyle w:val="ListParagraph"/>
        <w:shd w:val="clear" w:color="auto" w:fill="FFFFFF"/>
        <w:spacing w:after="0" w:line="240" w:lineRule="auto"/>
        <w:rPr>
          <w:rFonts w:eastAsia="Times New Roman" w:cstheme="minorHAnsi"/>
          <w:color w:val="222222"/>
          <w:highlight w:val="yellow"/>
        </w:rPr>
      </w:pPr>
    </w:p>
    <w:p w14:paraId="31CB0464" w14:textId="5896085B"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 xml:space="preserve">Will it be open to existing banks to launch a digital bank - if so, will it have to be completely separate? </w:t>
      </w:r>
    </w:p>
    <w:p w14:paraId="2ACE0A08" w14:textId="64BEB67B" w:rsidR="0030194B" w:rsidRPr="00E83C3D" w:rsidRDefault="0030194B" w:rsidP="0030194B">
      <w:pPr>
        <w:pStyle w:val="ListParagraph"/>
        <w:shd w:val="clear" w:color="auto" w:fill="FFFFFF"/>
        <w:spacing w:after="0" w:line="240" w:lineRule="auto"/>
        <w:rPr>
          <w:rFonts w:eastAsia="Times New Roman" w:cstheme="minorHAnsi"/>
          <w:color w:val="222222"/>
          <w:highlight w:val="yellow"/>
        </w:rPr>
      </w:pPr>
      <w:r w:rsidRPr="00E83C3D">
        <w:rPr>
          <w:rFonts w:eastAsia="Times New Roman" w:cstheme="minorHAnsi"/>
          <w:color w:val="222222"/>
          <w:highlight w:val="yellow"/>
        </w:rPr>
        <w:t xml:space="preserve">(Please refer to </w:t>
      </w:r>
      <w:r w:rsidR="00E91EF6" w:rsidRPr="00E83C3D">
        <w:rPr>
          <w:rFonts w:eastAsia="Times New Roman" w:cstheme="minorHAnsi"/>
          <w:color w:val="222222"/>
          <w:highlight w:val="yellow"/>
        </w:rPr>
        <w:t>Section 4 “Terms of Reference” – “About the Project”</w:t>
      </w:r>
      <w:r w:rsidRPr="00E83C3D">
        <w:rPr>
          <w:rFonts w:eastAsia="Times New Roman" w:cstheme="minorHAnsi"/>
          <w:color w:val="222222"/>
          <w:highlight w:val="yellow"/>
        </w:rPr>
        <w:t>: “…</w:t>
      </w:r>
      <w:r w:rsidR="00E91EF6" w:rsidRPr="00E83C3D">
        <w:rPr>
          <w:rFonts w:eastAsia="Times New Roman" w:cstheme="minorHAnsi"/>
          <w:color w:val="222222"/>
          <w:highlight w:val="yellow"/>
        </w:rPr>
        <w:t xml:space="preserve"> Banking Policy &amp; Regulations Department (BPRD) of</w:t>
      </w:r>
      <w:r w:rsidRPr="00E83C3D">
        <w:rPr>
          <w:rFonts w:eastAsia="Times New Roman" w:cstheme="minorHAnsi"/>
          <w:color w:val="222222"/>
          <w:highlight w:val="yellow"/>
        </w:rPr>
        <w:t xml:space="preserve"> SBP has already been working to introduce a separate category of banking services through promulgation of Framework for Digital Banks in Pakistan.”</w:t>
      </w:r>
    </w:p>
    <w:p w14:paraId="3D63A049" w14:textId="77777777" w:rsidR="0030194B" w:rsidRPr="00E83C3D" w:rsidRDefault="0030194B" w:rsidP="0030194B">
      <w:pPr>
        <w:pStyle w:val="ListParagraph"/>
        <w:shd w:val="clear" w:color="auto" w:fill="FFFFFF"/>
        <w:spacing w:after="0" w:line="240" w:lineRule="auto"/>
        <w:rPr>
          <w:rFonts w:eastAsia="Times New Roman" w:cstheme="minorHAnsi"/>
          <w:color w:val="222222"/>
          <w:highlight w:val="yellow"/>
        </w:rPr>
      </w:pPr>
      <w:r w:rsidRPr="00E83C3D">
        <w:rPr>
          <w:rFonts w:eastAsia="Times New Roman" w:cstheme="minorHAnsi"/>
          <w:color w:val="222222"/>
          <w:highlight w:val="yellow"/>
        </w:rPr>
        <w:t>As per Section 1.2(vii), comprehensive recommendations will be made by the consultant.</w:t>
      </w:r>
    </w:p>
    <w:p w14:paraId="0ECB5D7C" w14:textId="77777777" w:rsidR="0030194B" w:rsidRPr="00E83C3D" w:rsidRDefault="0030194B" w:rsidP="0030194B">
      <w:pPr>
        <w:pStyle w:val="ListParagraph"/>
        <w:contextualSpacing w:val="0"/>
        <w:rPr>
          <w:rFonts w:cstheme="minorHAnsi"/>
          <w:color w:val="000000" w:themeColor="text1"/>
        </w:rPr>
      </w:pPr>
    </w:p>
    <w:p w14:paraId="54743496" w14:textId="3208E005"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 xml:space="preserve">What department at SBP is the principle sponsor that </w:t>
      </w:r>
      <w:proofErr w:type="spellStart"/>
      <w:r w:rsidRPr="00E83C3D">
        <w:rPr>
          <w:rFonts w:cstheme="minorHAnsi"/>
          <w:color w:val="000000" w:themeColor="text1"/>
        </w:rPr>
        <w:t>Karandaaz</w:t>
      </w:r>
      <w:proofErr w:type="spellEnd"/>
      <w:r w:rsidRPr="00E83C3D">
        <w:rPr>
          <w:rFonts w:cstheme="minorHAnsi"/>
          <w:color w:val="000000" w:themeColor="text1"/>
        </w:rPr>
        <w:t xml:space="preserve"> is supporting for this endeavour? </w:t>
      </w:r>
    </w:p>
    <w:p w14:paraId="1986EEF1" w14:textId="5995F1A8" w:rsidR="0030194B" w:rsidRPr="00E83C3D" w:rsidRDefault="0030194B" w:rsidP="00FD5325">
      <w:pPr>
        <w:pStyle w:val="ListParagraph"/>
        <w:shd w:val="clear" w:color="auto" w:fill="FFFFFF"/>
        <w:spacing w:after="0" w:line="240" w:lineRule="auto"/>
        <w:rPr>
          <w:rFonts w:cstheme="minorHAnsi"/>
          <w:color w:val="000000" w:themeColor="text1"/>
        </w:rPr>
      </w:pPr>
      <w:r w:rsidRPr="00E83C3D">
        <w:rPr>
          <w:rFonts w:eastAsia="Times New Roman" w:cstheme="minorHAnsi"/>
          <w:color w:val="222222"/>
          <w:highlight w:val="yellow"/>
        </w:rPr>
        <w:t xml:space="preserve">Banking Policy &amp; Regulatory Group (BPRG) at State Bank of Pakistan. </w:t>
      </w:r>
      <w:r w:rsidR="004136F0" w:rsidRPr="00E83C3D">
        <w:rPr>
          <w:rFonts w:eastAsia="Times New Roman" w:cstheme="minorHAnsi"/>
          <w:color w:val="222222"/>
          <w:highlight w:val="yellow"/>
        </w:rPr>
        <w:t>Please refer to Section 4 “Terms of Reference” – “About the Project”</w:t>
      </w:r>
      <w:r w:rsidR="004136F0">
        <w:rPr>
          <w:rFonts w:eastAsia="Times New Roman" w:cstheme="minorHAnsi"/>
          <w:color w:val="222222"/>
          <w:highlight w:val="yellow"/>
        </w:rPr>
        <w:t>.</w:t>
      </w:r>
      <w:r w:rsidRPr="00E83C3D">
        <w:rPr>
          <w:rFonts w:eastAsia="Times New Roman" w:cstheme="minorHAnsi"/>
          <w:color w:val="222222"/>
          <w:highlight w:val="yellow"/>
        </w:rPr>
        <w:t xml:space="preserve"> </w:t>
      </w:r>
    </w:p>
    <w:p w14:paraId="09124A8B" w14:textId="0BCB7D90"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 xml:space="preserve">Given the aggressive timeline of the deliverables requested, will </w:t>
      </w:r>
      <w:proofErr w:type="spellStart"/>
      <w:r w:rsidRPr="00E83C3D">
        <w:rPr>
          <w:rFonts w:cstheme="minorHAnsi"/>
          <w:color w:val="000000" w:themeColor="text1"/>
        </w:rPr>
        <w:t>Karandaaz</w:t>
      </w:r>
      <w:proofErr w:type="spellEnd"/>
      <w:r w:rsidRPr="00E83C3D">
        <w:rPr>
          <w:rFonts w:cstheme="minorHAnsi"/>
          <w:color w:val="000000" w:themeColor="text1"/>
        </w:rPr>
        <w:t xml:space="preserve"> and/or State Bank be able to assist with the visa process?</w:t>
      </w:r>
    </w:p>
    <w:p w14:paraId="189CA567" w14:textId="5CFD2FD8" w:rsidR="00FD5325" w:rsidRPr="00E83C3D" w:rsidRDefault="00A007B7" w:rsidP="00FD5325">
      <w:pPr>
        <w:pStyle w:val="ListParagraph"/>
        <w:contextualSpacing w:val="0"/>
        <w:rPr>
          <w:rFonts w:cstheme="minorHAnsi"/>
          <w:color w:val="000000" w:themeColor="text1"/>
        </w:rPr>
      </w:pPr>
      <w:r w:rsidRPr="00E83C3D">
        <w:rPr>
          <w:rFonts w:cstheme="minorHAnsi"/>
          <w:color w:val="000000" w:themeColor="text1"/>
          <w:highlight w:val="yellow"/>
        </w:rPr>
        <w:t xml:space="preserve">Visa processing is the sole responsibility of the consultant. </w:t>
      </w:r>
      <w:proofErr w:type="spellStart"/>
      <w:r w:rsidRPr="00E83C3D">
        <w:rPr>
          <w:rFonts w:cstheme="minorHAnsi"/>
          <w:color w:val="000000" w:themeColor="text1"/>
          <w:highlight w:val="yellow"/>
        </w:rPr>
        <w:t>Karandaaz</w:t>
      </w:r>
      <w:proofErr w:type="spellEnd"/>
      <w:r w:rsidRPr="00E83C3D">
        <w:rPr>
          <w:rFonts w:cstheme="minorHAnsi"/>
          <w:color w:val="000000" w:themeColor="text1"/>
          <w:highlight w:val="yellow"/>
        </w:rPr>
        <w:t xml:space="preserve"> </w:t>
      </w:r>
      <w:r w:rsidR="00FD5325" w:rsidRPr="00E83C3D">
        <w:rPr>
          <w:rFonts w:cstheme="minorHAnsi"/>
          <w:color w:val="000000" w:themeColor="text1"/>
          <w:highlight w:val="yellow"/>
        </w:rPr>
        <w:t>may</w:t>
      </w:r>
      <w:r w:rsidRPr="00E83C3D">
        <w:rPr>
          <w:rFonts w:cstheme="minorHAnsi"/>
          <w:color w:val="000000" w:themeColor="text1"/>
          <w:highlight w:val="yellow"/>
        </w:rPr>
        <w:t xml:space="preserve"> only</w:t>
      </w:r>
      <w:r w:rsidR="00FD5325" w:rsidRPr="00E83C3D">
        <w:rPr>
          <w:rFonts w:cstheme="minorHAnsi"/>
          <w:color w:val="000000" w:themeColor="text1"/>
          <w:highlight w:val="yellow"/>
        </w:rPr>
        <w:t xml:space="preserve"> provide visa facilitation letter, </w:t>
      </w:r>
      <w:r w:rsidRPr="00E83C3D">
        <w:rPr>
          <w:rFonts w:cstheme="minorHAnsi"/>
          <w:color w:val="000000" w:themeColor="text1"/>
          <w:highlight w:val="yellow"/>
        </w:rPr>
        <w:t>if</w:t>
      </w:r>
      <w:r w:rsidR="00FD5325" w:rsidRPr="00E83C3D">
        <w:rPr>
          <w:rFonts w:cstheme="minorHAnsi"/>
          <w:color w:val="000000" w:themeColor="text1"/>
          <w:highlight w:val="yellow"/>
        </w:rPr>
        <w:t xml:space="preserve"> required.</w:t>
      </w:r>
    </w:p>
    <w:p w14:paraId="1DC26721" w14:textId="0288F9DA"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 xml:space="preserve">Where will the in-country work take place?  Are there facilities available at State Bank of Pakistan? </w:t>
      </w:r>
      <w:r w:rsidRPr="00E83C3D">
        <w:rPr>
          <w:rFonts w:cstheme="minorHAnsi"/>
          <w:color w:val="000000" w:themeColor="text1"/>
        </w:rPr>
        <w:br/>
        <w:t>(Section 1: C.10.ii)</w:t>
      </w:r>
    </w:p>
    <w:p w14:paraId="5BE5DFE2" w14:textId="213A651F" w:rsidR="00FD5325" w:rsidRPr="00E83C3D" w:rsidRDefault="00FD5325" w:rsidP="00FD5325">
      <w:pPr>
        <w:pStyle w:val="ListParagraph"/>
        <w:contextualSpacing w:val="0"/>
        <w:rPr>
          <w:rFonts w:cstheme="minorHAnsi"/>
          <w:color w:val="000000" w:themeColor="text1"/>
        </w:rPr>
      </w:pPr>
      <w:proofErr w:type="spellStart"/>
      <w:r w:rsidRPr="00E83C3D">
        <w:rPr>
          <w:rFonts w:cstheme="minorHAnsi"/>
          <w:color w:val="000000" w:themeColor="text1"/>
          <w:highlight w:val="yellow"/>
        </w:rPr>
        <w:t>Karandaaz</w:t>
      </w:r>
      <w:proofErr w:type="spellEnd"/>
      <w:r w:rsidRPr="00E83C3D">
        <w:rPr>
          <w:rFonts w:cstheme="minorHAnsi"/>
          <w:color w:val="000000" w:themeColor="text1"/>
          <w:highlight w:val="yellow"/>
        </w:rPr>
        <w:t xml:space="preserve"> and SBP will facilitate the consultants at their premises. </w:t>
      </w:r>
      <w:r w:rsidR="0012440C" w:rsidRPr="00E83C3D">
        <w:rPr>
          <w:rFonts w:cstheme="minorHAnsi"/>
          <w:color w:val="000000" w:themeColor="text1"/>
          <w:highlight w:val="yellow"/>
        </w:rPr>
        <w:t>Please refer to Section 10 (ii), specific requirements may be spelled out by the consultant in the Proposal.</w:t>
      </w:r>
    </w:p>
    <w:p w14:paraId="45FB0C0B" w14:textId="212D3511"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 xml:space="preserve">Please clarify "Regulatory Sandbox". Does this mean both business regulation and technical standards and/or incubator operating environment?  </w:t>
      </w:r>
      <w:r w:rsidRPr="00E83C3D">
        <w:rPr>
          <w:rFonts w:cstheme="minorHAnsi"/>
          <w:color w:val="000000" w:themeColor="text1"/>
        </w:rPr>
        <w:br/>
        <w:t>(Section 4: 1.2.vii, 2.3 &amp; 2.4)</w:t>
      </w:r>
    </w:p>
    <w:p w14:paraId="5E59904F" w14:textId="7F92013D" w:rsidR="006021E9" w:rsidRPr="00E83C3D" w:rsidRDefault="006021E9" w:rsidP="006021E9">
      <w:pPr>
        <w:pStyle w:val="ListParagraph"/>
        <w:contextualSpacing w:val="0"/>
        <w:rPr>
          <w:rFonts w:cstheme="minorHAnsi"/>
          <w:color w:val="000000" w:themeColor="text1"/>
        </w:rPr>
      </w:pPr>
      <w:r w:rsidRPr="00E83C3D">
        <w:rPr>
          <w:rFonts w:eastAsia="Times New Roman" w:cstheme="minorHAnsi"/>
          <w:color w:val="222222"/>
          <w:highlight w:val="yellow"/>
        </w:rPr>
        <w:t>This will be the part of Co</w:t>
      </w:r>
      <w:r w:rsidR="004136F0">
        <w:rPr>
          <w:rFonts w:eastAsia="Times New Roman" w:cstheme="minorHAnsi"/>
          <w:color w:val="222222"/>
          <w:highlight w:val="yellow"/>
        </w:rPr>
        <w:t>mprehensive recommendations</w:t>
      </w:r>
      <w:r w:rsidRPr="00E83C3D">
        <w:rPr>
          <w:rFonts w:eastAsia="Times New Roman" w:cstheme="minorHAnsi"/>
          <w:color w:val="222222"/>
          <w:highlight w:val="yellow"/>
        </w:rPr>
        <w:t xml:space="preserve"> by the Consultants 1.2(vii).</w:t>
      </w:r>
      <w:r w:rsidR="004136F0">
        <w:rPr>
          <w:rFonts w:eastAsia="Times New Roman" w:cstheme="minorHAnsi"/>
          <w:color w:val="222222"/>
          <w:highlight w:val="yellow"/>
        </w:rPr>
        <w:t xml:space="preserve"> That</w:t>
      </w:r>
      <w:r w:rsidRPr="00E83C3D">
        <w:rPr>
          <w:rFonts w:eastAsia="Times New Roman" w:cstheme="minorHAnsi"/>
          <w:color w:val="222222"/>
          <w:highlight w:val="yellow"/>
        </w:rPr>
        <w:t xml:space="preserve"> means recommendations for establishment of a Regulatory Sandbox by SBP in light of the international best practices and capacity development plan for SBP to implement the regime.</w:t>
      </w:r>
    </w:p>
    <w:p w14:paraId="4B09DE88" w14:textId="4959715E"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lastRenderedPageBreak/>
        <w:t xml:space="preserve">The RFP skips from Section 2.C to Section 2.E. Please clarify if this was a deliberate omission.  </w:t>
      </w:r>
    </w:p>
    <w:p w14:paraId="075EF0DA" w14:textId="4986B1C4" w:rsidR="006021E9" w:rsidRPr="00E83C3D" w:rsidRDefault="006021E9" w:rsidP="006021E9">
      <w:pPr>
        <w:pStyle w:val="ListParagraph"/>
        <w:contextualSpacing w:val="0"/>
        <w:rPr>
          <w:rFonts w:cstheme="minorHAnsi"/>
          <w:color w:val="000000" w:themeColor="text1"/>
        </w:rPr>
      </w:pPr>
      <w:r w:rsidRPr="00E83C3D">
        <w:rPr>
          <w:rFonts w:cstheme="minorHAnsi"/>
          <w:color w:val="000000" w:themeColor="text1"/>
          <w:highlight w:val="yellow"/>
        </w:rPr>
        <w:t>It</w:t>
      </w:r>
      <w:r w:rsidR="00A24DE8">
        <w:rPr>
          <w:rFonts w:cstheme="minorHAnsi"/>
          <w:color w:val="000000" w:themeColor="text1"/>
          <w:highlight w:val="yellow"/>
        </w:rPr>
        <w:t>’</w:t>
      </w:r>
      <w:r w:rsidRPr="00E83C3D">
        <w:rPr>
          <w:rFonts w:cstheme="minorHAnsi"/>
          <w:color w:val="000000" w:themeColor="text1"/>
          <w:highlight w:val="yellow"/>
        </w:rPr>
        <w:t>s not a deliberate omission</w:t>
      </w:r>
      <w:r w:rsidR="005C37FA" w:rsidRPr="00E83C3D">
        <w:rPr>
          <w:rFonts w:cstheme="minorHAnsi"/>
          <w:color w:val="000000" w:themeColor="text1"/>
          <w:highlight w:val="yellow"/>
        </w:rPr>
        <w:t xml:space="preserve"> and</w:t>
      </w:r>
      <w:r w:rsidRPr="00E83C3D">
        <w:rPr>
          <w:rFonts w:cstheme="minorHAnsi"/>
          <w:color w:val="000000" w:themeColor="text1"/>
          <w:highlight w:val="yellow"/>
        </w:rPr>
        <w:t xml:space="preserve"> </w:t>
      </w:r>
      <w:r w:rsidR="005C37FA" w:rsidRPr="00E83C3D">
        <w:rPr>
          <w:rFonts w:cstheme="minorHAnsi"/>
          <w:color w:val="000000" w:themeColor="text1"/>
          <w:highlight w:val="yellow"/>
        </w:rPr>
        <w:t>document is complete.</w:t>
      </w:r>
      <w:r w:rsidR="005C37FA" w:rsidRPr="00E83C3D">
        <w:rPr>
          <w:rFonts w:cstheme="minorHAnsi"/>
          <w:color w:val="000000" w:themeColor="text1"/>
        </w:rPr>
        <w:t xml:space="preserve"> </w:t>
      </w:r>
      <w:r w:rsidRPr="00E83C3D">
        <w:rPr>
          <w:rFonts w:cstheme="minorHAnsi"/>
          <w:color w:val="000000" w:themeColor="text1"/>
        </w:rPr>
        <w:t xml:space="preserve">  </w:t>
      </w:r>
    </w:p>
    <w:p w14:paraId="54AAEDC2" w14:textId="61BC87D4"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 xml:space="preserve">Deliverables 2.1, Inception report project plan requests a technical assessment be included. Would you please clarify what is expected in such a technical assessment? </w:t>
      </w:r>
    </w:p>
    <w:p w14:paraId="18B3A8CF" w14:textId="4DBF6E46" w:rsidR="005C37FA" w:rsidRPr="00E83C3D" w:rsidRDefault="005C37FA" w:rsidP="005C37FA">
      <w:pPr>
        <w:pStyle w:val="ListParagraph"/>
        <w:contextualSpacing w:val="0"/>
        <w:rPr>
          <w:rFonts w:cstheme="minorHAnsi"/>
          <w:color w:val="000000" w:themeColor="text1"/>
        </w:rPr>
      </w:pPr>
      <w:r w:rsidRPr="00E83C3D">
        <w:rPr>
          <w:rFonts w:cstheme="minorHAnsi"/>
          <w:color w:val="000000" w:themeColor="text1"/>
          <w:highlight w:val="yellow"/>
        </w:rPr>
        <w:t>Technical Assessment Report is not required as a part of inception report</w:t>
      </w:r>
    </w:p>
    <w:p w14:paraId="3C7009F6" w14:textId="43F642A1"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 xml:space="preserve">The RFP specifies the delivery of documents in both electronic format and in physical format. Would it be acceptable for the hardcopies of the proposal to be delivered following the submission date as long as the hardcopies are dispatched before the scanned copies are emailed? </w:t>
      </w:r>
      <w:r w:rsidRPr="00E83C3D">
        <w:rPr>
          <w:rFonts w:cstheme="minorHAnsi"/>
          <w:color w:val="000000" w:themeColor="text1"/>
        </w:rPr>
        <w:br/>
        <w:t>(Section 1: C.15)</w:t>
      </w:r>
    </w:p>
    <w:p w14:paraId="5966F41A" w14:textId="26FFA749" w:rsidR="005C37FA" w:rsidRPr="00E83C3D" w:rsidRDefault="005C37FA" w:rsidP="005C37FA">
      <w:pPr>
        <w:pStyle w:val="ListParagraph"/>
        <w:contextualSpacing w:val="0"/>
        <w:rPr>
          <w:rFonts w:cstheme="minorHAnsi"/>
          <w:color w:val="000000" w:themeColor="text1"/>
        </w:rPr>
      </w:pPr>
      <w:r w:rsidRPr="00E83C3D">
        <w:rPr>
          <w:rFonts w:cstheme="minorHAnsi"/>
          <w:color w:val="000000" w:themeColor="text1"/>
          <w:highlight w:val="yellow"/>
        </w:rPr>
        <w:t>Sc</w:t>
      </w:r>
      <w:r w:rsidR="00A007B7" w:rsidRPr="00E83C3D">
        <w:rPr>
          <w:rFonts w:cstheme="minorHAnsi"/>
          <w:color w:val="000000" w:themeColor="text1"/>
          <w:highlight w:val="yellow"/>
        </w:rPr>
        <w:t xml:space="preserve">anned copies (through email) should be dispatched before the </w:t>
      </w:r>
      <w:r w:rsidR="00E83C3D" w:rsidRPr="00E83C3D">
        <w:rPr>
          <w:rFonts w:cstheme="minorHAnsi"/>
          <w:color w:val="000000" w:themeColor="text1"/>
          <w:highlight w:val="yellow"/>
        </w:rPr>
        <w:t>deadline</w:t>
      </w:r>
      <w:r w:rsidR="00A007B7" w:rsidRPr="00E83C3D">
        <w:rPr>
          <w:rFonts w:cstheme="minorHAnsi"/>
          <w:color w:val="000000" w:themeColor="text1"/>
          <w:highlight w:val="yellow"/>
        </w:rPr>
        <w:t xml:space="preserve">, hard copies can be received </w:t>
      </w:r>
      <w:r w:rsidR="00E83C3D" w:rsidRPr="00E83C3D">
        <w:rPr>
          <w:rFonts w:cstheme="minorHAnsi"/>
          <w:color w:val="000000" w:themeColor="text1"/>
          <w:highlight w:val="yellow"/>
        </w:rPr>
        <w:t xml:space="preserve">at most </w:t>
      </w:r>
      <w:r w:rsidR="00A007B7" w:rsidRPr="00E83C3D">
        <w:rPr>
          <w:rFonts w:cstheme="minorHAnsi"/>
          <w:color w:val="000000" w:themeColor="text1"/>
          <w:highlight w:val="yellow"/>
        </w:rPr>
        <w:t>a day or 2 after</w:t>
      </w:r>
      <w:r w:rsidRPr="00E83C3D">
        <w:rPr>
          <w:rFonts w:cstheme="minorHAnsi"/>
          <w:color w:val="000000" w:themeColor="text1"/>
          <w:highlight w:val="yellow"/>
        </w:rPr>
        <w:t xml:space="preserve"> the deadline.</w:t>
      </w:r>
      <w:r w:rsidR="00A007B7" w:rsidRPr="00E83C3D">
        <w:rPr>
          <w:rFonts w:cstheme="minorHAnsi"/>
          <w:color w:val="000000" w:themeColor="text1"/>
        </w:rPr>
        <w:t xml:space="preserve"> </w:t>
      </w:r>
    </w:p>
    <w:p w14:paraId="313AFE15" w14:textId="33838CED"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In Section 4, “Terms of Reference”, we understand where the RFP uses the term “stakeholders”, it refers to external stakeholders only, not the Steering Committee or State Bank of Pakistan. Is this correct?</w:t>
      </w:r>
      <w:r w:rsidR="005C37FA" w:rsidRPr="00E83C3D">
        <w:rPr>
          <w:rFonts w:cstheme="minorHAnsi"/>
          <w:color w:val="000000" w:themeColor="text1"/>
        </w:rPr>
        <w:t xml:space="preserve"> </w:t>
      </w:r>
    </w:p>
    <w:p w14:paraId="6B1616C3" w14:textId="77777777" w:rsidR="00A24DE8" w:rsidRPr="00E83C3D" w:rsidRDefault="00A24DE8" w:rsidP="00A24DE8">
      <w:pPr>
        <w:pStyle w:val="CommentText"/>
        <w:ind w:left="720"/>
        <w:rPr>
          <w:rFonts w:cstheme="minorHAnsi"/>
          <w:sz w:val="22"/>
          <w:szCs w:val="22"/>
          <w:highlight w:val="yellow"/>
        </w:rPr>
      </w:pPr>
      <w:r w:rsidRPr="00E83C3D">
        <w:rPr>
          <w:rFonts w:cstheme="minorHAnsi"/>
          <w:sz w:val="22"/>
          <w:szCs w:val="22"/>
          <w:highlight w:val="yellow"/>
        </w:rPr>
        <w:t xml:space="preserve">The term Stakeholder in this RFP refers to external </w:t>
      </w:r>
      <w:proofErr w:type="gramStart"/>
      <w:r w:rsidRPr="00E83C3D">
        <w:rPr>
          <w:rFonts w:cstheme="minorHAnsi"/>
          <w:sz w:val="22"/>
          <w:szCs w:val="22"/>
          <w:highlight w:val="yellow"/>
        </w:rPr>
        <w:t>stakeholders</w:t>
      </w:r>
      <w:proofErr w:type="gramEnd"/>
      <w:r w:rsidRPr="00E83C3D">
        <w:rPr>
          <w:rFonts w:cstheme="minorHAnsi"/>
          <w:sz w:val="22"/>
          <w:szCs w:val="22"/>
          <w:highlight w:val="yellow"/>
        </w:rPr>
        <w:t xml:space="preserve"> </w:t>
      </w:r>
      <w:proofErr w:type="spellStart"/>
      <w:r w:rsidRPr="00E83C3D">
        <w:rPr>
          <w:rFonts w:cstheme="minorHAnsi"/>
          <w:sz w:val="22"/>
          <w:szCs w:val="22"/>
          <w:highlight w:val="yellow"/>
        </w:rPr>
        <w:t>interalia</w:t>
      </w:r>
      <w:proofErr w:type="spellEnd"/>
      <w:r w:rsidRPr="00E83C3D">
        <w:rPr>
          <w:rFonts w:cstheme="minorHAnsi"/>
          <w:sz w:val="22"/>
          <w:szCs w:val="22"/>
          <w:highlight w:val="yellow"/>
        </w:rPr>
        <w:t xml:space="preserve"> Market players and other relevant Government bodies.  </w:t>
      </w:r>
      <w:proofErr w:type="spellStart"/>
      <w:r w:rsidRPr="00E83C3D">
        <w:rPr>
          <w:rFonts w:cstheme="minorHAnsi"/>
          <w:sz w:val="22"/>
          <w:szCs w:val="22"/>
          <w:highlight w:val="yellow"/>
        </w:rPr>
        <w:t>Karandaaz</w:t>
      </w:r>
      <w:proofErr w:type="spellEnd"/>
      <w:r w:rsidRPr="00E83C3D">
        <w:rPr>
          <w:rFonts w:cstheme="minorHAnsi"/>
          <w:sz w:val="22"/>
          <w:szCs w:val="22"/>
          <w:highlight w:val="yellow"/>
        </w:rPr>
        <w:t xml:space="preserve"> Pakistan and Banking Policy &amp; Regulations Group (BPRG) of State Bank of Pakistan are the internal Stakeholders.</w:t>
      </w:r>
    </w:p>
    <w:p w14:paraId="3F322BB1" w14:textId="15477429"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 xml:space="preserve">Please clarify how many formal presentations are envisioned in the RFP and to which groups? </w:t>
      </w:r>
      <w:r w:rsidRPr="00E83C3D">
        <w:rPr>
          <w:rFonts w:cstheme="minorHAnsi"/>
          <w:color w:val="000000" w:themeColor="text1"/>
        </w:rPr>
        <w:br/>
        <w:t>(Section 4: 1.2.vii, 2.8, 2.9)</w:t>
      </w:r>
    </w:p>
    <w:p w14:paraId="713FF6D3" w14:textId="0676E087" w:rsidR="005C37FA" w:rsidRPr="00E83C3D" w:rsidRDefault="005C37FA" w:rsidP="005C37FA">
      <w:pPr>
        <w:pStyle w:val="ListParagraph"/>
        <w:contextualSpacing w:val="0"/>
        <w:rPr>
          <w:rFonts w:cstheme="minorHAnsi"/>
          <w:color w:val="000000" w:themeColor="text1"/>
        </w:rPr>
      </w:pPr>
      <w:r w:rsidRPr="00E83C3D">
        <w:rPr>
          <w:rFonts w:cstheme="minorHAnsi"/>
          <w:color w:val="000000" w:themeColor="text1"/>
          <w:highlight w:val="yellow"/>
        </w:rPr>
        <w:t>Formal presentations will be delivered during Stakeholders' consultations</w:t>
      </w:r>
      <w:r w:rsidR="00264912" w:rsidRPr="00E83C3D">
        <w:rPr>
          <w:rFonts w:cstheme="minorHAnsi"/>
          <w:color w:val="000000" w:themeColor="text1"/>
          <w:highlight w:val="yellow"/>
        </w:rPr>
        <w:t>, to the Steering Committee and a sepa</w:t>
      </w:r>
      <w:r w:rsidR="00A24DE8">
        <w:rPr>
          <w:rFonts w:cstheme="minorHAnsi"/>
          <w:color w:val="000000" w:themeColor="text1"/>
          <w:highlight w:val="yellow"/>
        </w:rPr>
        <w:t>rate final Presentation to the t</w:t>
      </w:r>
      <w:r w:rsidR="00264912" w:rsidRPr="00E83C3D">
        <w:rPr>
          <w:rFonts w:cstheme="minorHAnsi"/>
          <w:color w:val="000000" w:themeColor="text1"/>
          <w:highlight w:val="yellow"/>
        </w:rPr>
        <w:t>op Management of SBP.</w:t>
      </w:r>
    </w:p>
    <w:p w14:paraId="02C30AC2" w14:textId="77777777" w:rsidR="00F26F91" w:rsidRPr="00E83C3D" w:rsidRDefault="00F26F91" w:rsidP="00F26F91">
      <w:pPr>
        <w:pStyle w:val="ListParagraph"/>
        <w:numPr>
          <w:ilvl w:val="0"/>
          <w:numId w:val="2"/>
        </w:numPr>
        <w:contextualSpacing w:val="0"/>
        <w:rPr>
          <w:rFonts w:cstheme="minorHAnsi"/>
          <w:color w:val="000000" w:themeColor="text1"/>
        </w:rPr>
      </w:pPr>
      <w:r w:rsidRPr="00E83C3D">
        <w:rPr>
          <w:rFonts w:cstheme="minorHAnsi"/>
          <w:color w:val="000000" w:themeColor="text1"/>
        </w:rPr>
        <w:t xml:space="preserve">Please confirm that it is acceptable to bid and invoice for payment in USD?   </w:t>
      </w:r>
      <w:r w:rsidRPr="00E83C3D">
        <w:rPr>
          <w:rFonts w:cstheme="minorHAnsi"/>
          <w:color w:val="000000" w:themeColor="text1"/>
        </w:rPr>
        <w:br/>
        <w:t>(Section 1: C.11 &amp; E.22)</w:t>
      </w:r>
    </w:p>
    <w:p w14:paraId="0F8065B5" w14:textId="23A03FAF" w:rsidR="00F26F91" w:rsidRPr="00E83C3D" w:rsidRDefault="00E83C3D" w:rsidP="005F057C">
      <w:pPr>
        <w:shd w:val="clear" w:color="auto" w:fill="FFFFFF"/>
        <w:spacing w:after="0" w:line="240" w:lineRule="auto"/>
        <w:ind w:firstLine="720"/>
        <w:rPr>
          <w:rFonts w:eastAsia="Times New Roman" w:cstheme="minorHAnsi"/>
          <w:color w:val="222222"/>
        </w:rPr>
      </w:pPr>
      <w:r w:rsidRPr="00E83C3D">
        <w:rPr>
          <w:rFonts w:eastAsia="Times New Roman" w:cstheme="minorHAnsi"/>
          <w:color w:val="222222"/>
          <w:highlight w:val="yellow"/>
        </w:rPr>
        <w:t>As per section 11 &amp; 26 of RFP.</w:t>
      </w:r>
    </w:p>
    <w:p w14:paraId="4BCA9132" w14:textId="77777777" w:rsidR="00F26F91" w:rsidRPr="00E83C3D" w:rsidRDefault="00F26F91" w:rsidP="00F26F91">
      <w:pPr>
        <w:shd w:val="clear" w:color="auto" w:fill="FFFFFF"/>
        <w:spacing w:after="0" w:line="240" w:lineRule="auto"/>
        <w:rPr>
          <w:rFonts w:eastAsia="Times New Roman" w:cstheme="minorHAnsi"/>
          <w:color w:val="222222"/>
        </w:rPr>
      </w:pPr>
      <w:r w:rsidRPr="00E83C3D">
        <w:rPr>
          <w:rFonts w:eastAsia="Times New Roman" w:cstheme="minorHAnsi"/>
          <w:color w:val="222222"/>
        </w:rPr>
        <w:t> </w:t>
      </w:r>
    </w:p>
    <w:p w14:paraId="3530FDBC" w14:textId="77777777" w:rsidR="00F26F91" w:rsidRPr="00E83C3D" w:rsidRDefault="00F26F91" w:rsidP="00F26F91">
      <w:pPr>
        <w:rPr>
          <w:rFonts w:cstheme="minorHAnsi"/>
        </w:rPr>
      </w:pPr>
    </w:p>
    <w:p w14:paraId="3382F595" w14:textId="77777777" w:rsidR="000E4E07" w:rsidRPr="00E83C3D" w:rsidRDefault="000E4E07" w:rsidP="00F26F91">
      <w:pPr>
        <w:jc w:val="center"/>
        <w:rPr>
          <w:rFonts w:cstheme="minorHAnsi"/>
        </w:rPr>
      </w:pPr>
    </w:p>
    <w:sectPr w:rsidR="000E4E07" w:rsidRPr="00E83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D3F92"/>
    <w:multiLevelType w:val="hybridMultilevel"/>
    <w:tmpl w:val="67B298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BE7DE9"/>
    <w:multiLevelType w:val="multilevel"/>
    <w:tmpl w:val="351495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403C6E"/>
    <w:multiLevelType w:val="hybridMultilevel"/>
    <w:tmpl w:val="F2648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B51D3"/>
    <w:multiLevelType w:val="hybridMultilevel"/>
    <w:tmpl w:val="66AA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91"/>
    <w:rsid w:val="000E4E07"/>
    <w:rsid w:val="00111A89"/>
    <w:rsid w:val="0012440C"/>
    <w:rsid w:val="001C5410"/>
    <w:rsid w:val="001D095F"/>
    <w:rsid w:val="00264912"/>
    <w:rsid w:val="00272EC1"/>
    <w:rsid w:val="002D2A4B"/>
    <w:rsid w:val="0030194B"/>
    <w:rsid w:val="00336DF0"/>
    <w:rsid w:val="004136F0"/>
    <w:rsid w:val="00590B10"/>
    <w:rsid w:val="005C37FA"/>
    <w:rsid w:val="005F057C"/>
    <w:rsid w:val="005F4DFC"/>
    <w:rsid w:val="006021E9"/>
    <w:rsid w:val="006D58C6"/>
    <w:rsid w:val="006E7304"/>
    <w:rsid w:val="00870835"/>
    <w:rsid w:val="008B6A87"/>
    <w:rsid w:val="0095704A"/>
    <w:rsid w:val="00A007B7"/>
    <w:rsid w:val="00A24AD7"/>
    <w:rsid w:val="00A24DE8"/>
    <w:rsid w:val="00B021D3"/>
    <w:rsid w:val="00C13F1F"/>
    <w:rsid w:val="00D97C8F"/>
    <w:rsid w:val="00E83C3D"/>
    <w:rsid w:val="00E8798D"/>
    <w:rsid w:val="00E91EF6"/>
    <w:rsid w:val="00F21816"/>
    <w:rsid w:val="00F26F91"/>
    <w:rsid w:val="00F635AC"/>
    <w:rsid w:val="00FA67A1"/>
    <w:rsid w:val="00FD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06E4"/>
  <w15:chartTrackingRefBased/>
  <w15:docId w15:val="{830B444B-33D0-49F4-8291-EBEBF1D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6F91"/>
    <w:rPr>
      <w:color w:val="0563C1" w:themeColor="hyperlink"/>
      <w:u w:val="single"/>
    </w:rPr>
  </w:style>
  <w:style w:type="paragraph" w:styleId="ListParagraph">
    <w:name w:val="List Paragraph"/>
    <w:basedOn w:val="Normal"/>
    <w:uiPriority w:val="34"/>
    <w:qFormat/>
    <w:rsid w:val="00F26F91"/>
    <w:pPr>
      <w:ind w:left="720"/>
      <w:contextualSpacing/>
    </w:pPr>
    <w:rPr>
      <w:lang w:val="en-CA"/>
    </w:rPr>
  </w:style>
  <w:style w:type="character" w:styleId="CommentReference">
    <w:name w:val="annotation reference"/>
    <w:basedOn w:val="DefaultParagraphFont"/>
    <w:uiPriority w:val="99"/>
    <w:semiHidden/>
    <w:unhideWhenUsed/>
    <w:rsid w:val="00272EC1"/>
    <w:rPr>
      <w:sz w:val="16"/>
      <w:szCs w:val="16"/>
    </w:rPr>
  </w:style>
  <w:style w:type="paragraph" w:styleId="CommentText">
    <w:name w:val="annotation text"/>
    <w:basedOn w:val="Normal"/>
    <w:link w:val="CommentTextChar"/>
    <w:uiPriority w:val="99"/>
    <w:unhideWhenUsed/>
    <w:rsid w:val="00272EC1"/>
    <w:pPr>
      <w:spacing w:line="240" w:lineRule="auto"/>
    </w:pPr>
    <w:rPr>
      <w:sz w:val="20"/>
      <w:szCs w:val="20"/>
    </w:rPr>
  </w:style>
  <w:style w:type="character" w:customStyle="1" w:styleId="CommentTextChar">
    <w:name w:val="Comment Text Char"/>
    <w:basedOn w:val="DefaultParagraphFont"/>
    <w:link w:val="CommentText"/>
    <w:uiPriority w:val="99"/>
    <w:rsid w:val="00272EC1"/>
    <w:rPr>
      <w:sz w:val="20"/>
      <w:szCs w:val="20"/>
    </w:rPr>
  </w:style>
  <w:style w:type="paragraph" w:styleId="CommentSubject">
    <w:name w:val="annotation subject"/>
    <w:basedOn w:val="CommentText"/>
    <w:next w:val="CommentText"/>
    <w:link w:val="CommentSubjectChar"/>
    <w:uiPriority w:val="99"/>
    <w:semiHidden/>
    <w:unhideWhenUsed/>
    <w:rsid w:val="00272EC1"/>
    <w:rPr>
      <w:b/>
      <w:bCs/>
    </w:rPr>
  </w:style>
  <w:style w:type="character" w:customStyle="1" w:styleId="CommentSubjectChar">
    <w:name w:val="Comment Subject Char"/>
    <w:basedOn w:val="CommentTextChar"/>
    <w:link w:val="CommentSubject"/>
    <w:uiPriority w:val="99"/>
    <w:semiHidden/>
    <w:rsid w:val="00272EC1"/>
    <w:rPr>
      <w:b/>
      <w:bCs/>
      <w:sz w:val="20"/>
      <w:szCs w:val="20"/>
    </w:rPr>
  </w:style>
  <w:style w:type="paragraph" w:styleId="BalloonText">
    <w:name w:val="Balloon Text"/>
    <w:basedOn w:val="Normal"/>
    <w:link w:val="BalloonTextChar"/>
    <w:uiPriority w:val="99"/>
    <w:semiHidden/>
    <w:unhideWhenUsed/>
    <w:rsid w:val="0027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curement@karandaaz.com.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curement@karandaaz.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020A8-1117-435D-8B22-9E48E117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Khan</dc:creator>
  <cp:keywords/>
  <dc:description/>
  <cp:lastModifiedBy>Mustafa</cp:lastModifiedBy>
  <cp:revision>2</cp:revision>
  <dcterms:created xsi:type="dcterms:W3CDTF">2018-04-18T13:00:00Z</dcterms:created>
  <dcterms:modified xsi:type="dcterms:W3CDTF">2018-04-18T13:00:00Z</dcterms:modified>
</cp:coreProperties>
</file>