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BC" w:rsidRPr="00D203BC" w:rsidRDefault="00D203BC" w:rsidP="003055AB">
      <w:pPr>
        <w:jc w:val="center"/>
        <w:rPr>
          <w:rFonts w:ascii="Georgia" w:hAnsi="Georgia"/>
          <w:b/>
          <w:sz w:val="28"/>
          <w:szCs w:val="20"/>
          <w:u w:val="single"/>
        </w:rPr>
      </w:pPr>
      <w:r w:rsidRPr="00D203BC">
        <w:rPr>
          <w:rFonts w:ascii="Georgia" w:hAnsi="Georgia"/>
          <w:b/>
          <w:sz w:val="28"/>
          <w:szCs w:val="20"/>
          <w:u w:val="single"/>
        </w:rPr>
        <w:t>REPLIES</w:t>
      </w:r>
    </w:p>
    <w:p w:rsidR="007A5916" w:rsidRPr="00571E4A" w:rsidRDefault="00DF1882" w:rsidP="003055AB">
      <w:pPr>
        <w:jc w:val="center"/>
        <w:rPr>
          <w:rFonts w:ascii="Georgia" w:hAnsi="Georgia"/>
          <w:b/>
          <w:sz w:val="20"/>
          <w:szCs w:val="20"/>
        </w:rPr>
      </w:pPr>
      <w:r>
        <w:rPr>
          <w:rFonts w:ascii="Georgia" w:hAnsi="Georgia"/>
          <w:b/>
          <w:sz w:val="20"/>
          <w:szCs w:val="20"/>
        </w:rPr>
        <w:t xml:space="preserve">Points requiring clarifications in relation to </w:t>
      </w:r>
      <w:r w:rsidR="003055AB">
        <w:rPr>
          <w:rFonts w:ascii="Georgia" w:hAnsi="Georgia"/>
          <w:b/>
          <w:sz w:val="20"/>
          <w:szCs w:val="20"/>
        </w:rPr>
        <w:t xml:space="preserve">the </w:t>
      </w:r>
      <w:r w:rsidR="00571E4A" w:rsidRPr="00571E4A">
        <w:rPr>
          <w:rFonts w:ascii="Georgia" w:hAnsi="Georgia"/>
          <w:b/>
          <w:sz w:val="20"/>
          <w:szCs w:val="20"/>
        </w:rPr>
        <w:t xml:space="preserve">Request for Proposal </w:t>
      </w:r>
      <w:r w:rsidR="00B24EB5">
        <w:rPr>
          <w:rFonts w:ascii="Georgia" w:hAnsi="Georgia"/>
          <w:b/>
          <w:sz w:val="20"/>
          <w:szCs w:val="20"/>
        </w:rPr>
        <w:t>No. 5</w:t>
      </w:r>
      <w:r w:rsidR="002D0DEA">
        <w:rPr>
          <w:rFonts w:ascii="Georgia" w:hAnsi="Georgia"/>
          <w:b/>
          <w:sz w:val="20"/>
          <w:szCs w:val="20"/>
        </w:rPr>
        <w:t>2</w:t>
      </w:r>
      <w:r w:rsidR="00B24EB5">
        <w:rPr>
          <w:rFonts w:ascii="Georgia" w:hAnsi="Georgia"/>
          <w:b/>
          <w:sz w:val="20"/>
          <w:szCs w:val="20"/>
        </w:rPr>
        <w:t xml:space="preserve"> </w:t>
      </w:r>
      <w:r w:rsidR="003055AB">
        <w:rPr>
          <w:rFonts w:ascii="Georgia" w:hAnsi="Georgia"/>
          <w:b/>
          <w:sz w:val="20"/>
          <w:szCs w:val="20"/>
        </w:rPr>
        <w:t>on</w:t>
      </w:r>
      <w:r>
        <w:rPr>
          <w:rFonts w:ascii="Georgia" w:hAnsi="Georgia"/>
          <w:b/>
          <w:sz w:val="20"/>
          <w:szCs w:val="20"/>
        </w:rPr>
        <w:t xml:space="preserve"> </w:t>
      </w:r>
      <w:r w:rsidR="00B24EB5">
        <w:rPr>
          <w:rFonts w:ascii="Georgia" w:hAnsi="Georgia"/>
          <w:b/>
          <w:sz w:val="20"/>
          <w:szCs w:val="20"/>
        </w:rPr>
        <w:t>formulation of the Regulatory Framework for Digital Banks in Pakistan</w:t>
      </w:r>
    </w:p>
    <w:p w:rsidR="00BB5CB4" w:rsidRDefault="00BB5CB4" w:rsidP="00DF1882">
      <w:pPr>
        <w:jc w:val="both"/>
        <w:rPr>
          <w:rFonts w:ascii="Georgia" w:hAnsi="Georgia"/>
          <w:sz w:val="20"/>
          <w:szCs w:val="20"/>
        </w:rPr>
      </w:pPr>
    </w:p>
    <w:p w:rsidR="00DF1882" w:rsidRDefault="00BB5CB4" w:rsidP="00DF1882">
      <w:pPr>
        <w:jc w:val="both"/>
        <w:rPr>
          <w:rFonts w:ascii="Georgia" w:hAnsi="Georgia"/>
          <w:sz w:val="20"/>
          <w:szCs w:val="20"/>
        </w:rPr>
      </w:pPr>
      <w:r>
        <w:rPr>
          <w:rFonts w:ascii="Georgia" w:hAnsi="Georgia"/>
          <w:sz w:val="20"/>
          <w:szCs w:val="20"/>
        </w:rPr>
        <w:t>We h</w:t>
      </w:r>
      <w:r w:rsidR="00DF1882" w:rsidRPr="008C7136">
        <w:rPr>
          <w:rFonts w:ascii="Georgia" w:hAnsi="Georgia"/>
          <w:sz w:val="20"/>
          <w:szCs w:val="20"/>
        </w:rPr>
        <w:t xml:space="preserve">ave </w:t>
      </w:r>
      <w:r w:rsidR="008C7136">
        <w:rPr>
          <w:rFonts w:ascii="Georgia" w:hAnsi="Georgia"/>
          <w:sz w:val="20"/>
          <w:szCs w:val="20"/>
        </w:rPr>
        <w:t>the following queries/ clarification requirements</w:t>
      </w:r>
      <w:r w:rsidR="00B24EB5">
        <w:rPr>
          <w:rFonts w:ascii="Georgia" w:hAnsi="Georgia"/>
          <w:sz w:val="20"/>
          <w:szCs w:val="20"/>
        </w:rPr>
        <w:t xml:space="preserve"> with respect to certain content </w:t>
      </w:r>
      <w:r w:rsidR="00DF1882" w:rsidRPr="008C7136">
        <w:rPr>
          <w:rFonts w:ascii="Georgia" w:hAnsi="Georgia"/>
          <w:sz w:val="20"/>
          <w:szCs w:val="20"/>
        </w:rPr>
        <w:t>mentioned in the R</w:t>
      </w:r>
      <w:r w:rsidR="00B24EB5">
        <w:rPr>
          <w:rFonts w:ascii="Georgia" w:hAnsi="Georgia"/>
          <w:sz w:val="20"/>
          <w:szCs w:val="20"/>
        </w:rPr>
        <w:t xml:space="preserve">equest </w:t>
      </w:r>
      <w:r w:rsidR="0095202F">
        <w:rPr>
          <w:rFonts w:ascii="Georgia" w:hAnsi="Georgia"/>
          <w:sz w:val="20"/>
          <w:szCs w:val="20"/>
        </w:rPr>
        <w:t>f</w:t>
      </w:r>
      <w:r w:rsidR="00B24EB5">
        <w:rPr>
          <w:rFonts w:ascii="Georgia" w:hAnsi="Georgia"/>
          <w:sz w:val="20"/>
          <w:szCs w:val="20"/>
        </w:rPr>
        <w:t xml:space="preserve">or </w:t>
      </w:r>
      <w:r w:rsidR="00DF1882" w:rsidRPr="008C7136">
        <w:rPr>
          <w:rFonts w:ascii="Georgia" w:hAnsi="Georgia"/>
          <w:sz w:val="20"/>
          <w:szCs w:val="20"/>
        </w:rPr>
        <w:t>P</w:t>
      </w:r>
      <w:r w:rsidR="00B24EB5">
        <w:rPr>
          <w:rFonts w:ascii="Georgia" w:hAnsi="Georgia"/>
          <w:sz w:val="20"/>
          <w:szCs w:val="20"/>
        </w:rPr>
        <w:t>roposal (RFP)</w:t>
      </w:r>
      <w:r w:rsidR="00DF1882" w:rsidRPr="008C7136">
        <w:rPr>
          <w:rFonts w:ascii="Georgia" w:hAnsi="Georgia"/>
          <w:sz w:val="20"/>
          <w:szCs w:val="20"/>
        </w:rPr>
        <w:t xml:space="preserve"> </w:t>
      </w:r>
      <w:r>
        <w:rPr>
          <w:rFonts w:ascii="Georgia" w:hAnsi="Georgia"/>
          <w:sz w:val="20"/>
          <w:szCs w:val="20"/>
        </w:rPr>
        <w:t xml:space="preserve">and for which </w:t>
      </w:r>
      <w:r w:rsidR="008C7136" w:rsidRPr="008C7136">
        <w:rPr>
          <w:rFonts w:ascii="Georgia" w:hAnsi="Georgia"/>
          <w:sz w:val="20"/>
          <w:szCs w:val="20"/>
        </w:rPr>
        <w:t>your feedback/ expectations</w:t>
      </w:r>
      <w:r>
        <w:rPr>
          <w:rFonts w:ascii="Georgia" w:hAnsi="Georgia"/>
          <w:sz w:val="20"/>
          <w:szCs w:val="20"/>
        </w:rPr>
        <w:t xml:space="preserve"> from the consultants is sought:</w:t>
      </w:r>
    </w:p>
    <w:p w:rsidR="00BB5CB4" w:rsidRDefault="00BB5CB4" w:rsidP="00DF1882">
      <w:pPr>
        <w:jc w:val="both"/>
        <w:rPr>
          <w:rFonts w:ascii="Georgia" w:hAnsi="Georgia"/>
          <w:sz w:val="20"/>
          <w:szCs w:val="20"/>
        </w:rPr>
      </w:pPr>
    </w:p>
    <w:tbl>
      <w:tblPr>
        <w:tblStyle w:val="TableGrid"/>
        <w:tblW w:w="0" w:type="auto"/>
        <w:tblLook w:val="04A0" w:firstRow="1" w:lastRow="0" w:firstColumn="1" w:lastColumn="0" w:noHBand="0" w:noVBand="1"/>
      </w:tblPr>
      <w:tblGrid>
        <w:gridCol w:w="804"/>
        <w:gridCol w:w="1975"/>
        <w:gridCol w:w="3169"/>
        <w:gridCol w:w="3402"/>
        <w:gridCol w:w="3402"/>
      </w:tblGrid>
      <w:tr w:rsidR="00D15167" w:rsidTr="000B00D1">
        <w:trPr>
          <w:tblHeader/>
        </w:trPr>
        <w:tc>
          <w:tcPr>
            <w:tcW w:w="804" w:type="dxa"/>
            <w:shd w:val="clear" w:color="auto" w:fill="F2F2F2" w:themeFill="background1" w:themeFillShade="F2"/>
            <w:vAlign w:val="center"/>
          </w:tcPr>
          <w:p w:rsidR="00D15167" w:rsidRPr="003055AB" w:rsidRDefault="00D15167" w:rsidP="003055AB">
            <w:pPr>
              <w:spacing w:before="120" w:after="120"/>
              <w:jc w:val="center"/>
              <w:rPr>
                <w:rFonts w:ascii="Georgia" w:hAnsi="Georgia"/>
                <w:b/>
                <w:sz w:val="20"/>
                <w:szCs w:val="20"/>
              </w:rPr>
            </w:pPr>
            <w:r w:rsidRPr="003055AB">
              <w:rPr>
                <w:rFonts w:ascii="Georgia" w:hAnsi="Georgia"/>
                <w:b/>
                <w:sz w:val="20"/>
                <w:szCs w:val="20"/>
              </w:rPr>
              <w:t>S.No</w:t>
            </w:r>
          </w:p>
        </w:tc>
        <w:tc>
          <w:tcPr>
            <w:tcW w:w="1975" w:type="dxa"/>
            <w:shd w:val="clear" w:color="auto" w:fill="F2F2F2" w:themeFill="background1" w:themeFillShade="F2"/>
            <w:vAlign w:val="center"/>
          </w:tcPr>
          <w:p w:rsidR="00D15167" w:rsidRPr="003055AB" w:rsidRDefault="00D15167" w:rsidP="003055AB">
            <w:pPr>
              <w:spacing w:before="120" w:after="120"/>
              <w:jc w:val="center"/>
              <w:rPr>
                <w:rFonts w:ascii="Georgia" w:hAnsi="Georgia"/>
                <w:b/>
                <w:sz w:val="20"/>
                <w:szCs w:val="20"/>
              </w:rPr>
            </w:pPr>
            <w:r w:rsidRPr="003055AB">
              <w:rPr>
                <w:rFonts w:ascii="Georgia" w:hAnsi="Georgia"/>
                <w:b/>
                <w:sz w:val="20"/>
                <w:szCs w:val="20"/>
              </w:rPr>
              <w:t>Reference</w:t>
            </w:r>
            <w:r>
              <w:rPr>
                <w:rFonts w:ascii="Georgia" w:hAnsi="Georgia"/>
                <w:b/>
                <w:sz w:val="20"/>
                <w:szCs w:val="20"/>
              </w:rPr>
              <w:t xml:space="preserve"> to the RFP</w:t>
            </w:r>
          </w:p>
        </w:tc>
        <w:tc>
          <w:tcPr>
            <w:tcW w:w="3169" w:type="dxa"/>
            <w:shd w:val="clear" w:color="auto" w:fill="F2F2F2" w:themeFill="background1" w:themeFillShade="F2"/>
            <w:vAlign w:val="center"/>
          </w:tcPr>
          <w:p w:rsidR="00D15167" w:rsidRPr="003055AB" w:rsidRDefault="00D15167" w:rsidP="003055AB">
            <w:pPr>
              <w:spacing w:before="120" w:after="120"/>
              <w:jc w:val="center"/>
              <w:rPr>
                <w:rFonts w:ascii="Georgia" w:hAnsi="Georgia"/>
                <w:b/>
                <w:sz w:val="20"/>
                <w:szCs w:val="20"/>
              </w:rPr>
            </w:pPr>
            <w:r w:rsidRPr="003055AB">
              <w:rPr>
                <w:rFonts w:ascii="Georgia" w:hAnsi="Georgia"/>
                <w:b/>
                <w:sz w:val="20"/>
                <w:szCs w:val="20"/>
              </w:rPr>
              <w:t>Relevant Extract</w:t>
            </w:r>
            <w:r>
              <w:rPr>
                <w:rFonts w:ascii="Georgia" w:hAnsi="Georgia"/>
                <w:b/>
                <w:sz w:val="20"/>
                <w:szCs w:val="20"/>
              </w:rPr>
              <w:t xml:space="preserve"> from the RFP</w:t>
            </w:r>
          </w:p>
        </w:tc>
        <w:tc>
          <w:tcPr>
            <w:tcW w:w="3402" w:type="dxa"/>
            <w:shd w:val="clear" w:color="auto" w:fill="F2F2F2" w:themeFill="background1" w:themeFillShade="F2"/>
            <w:vAlign w:val="center"/>
          </w:tcPr>
          <w:p w:rsidR="00D15167" w:rsidRPr="003055AB" w:rsidRDefault="00D15167" w:rsidP="003055AB">
            <w:pPr>
              <w:spacing w:before="120" w:after="120"/>
              <w:jc w:val="center"/>
              <w:rPr>
                <w:rFonts w:ascii="Georgia" w:hAnsi="Georgia"/>
                <w:b/>
                <w:sz w:val="20"/>
                <w:szCs w:val="20"/>
              </w:rPr>
            </w:pPr>
            <w:r w:rsidRPr="003055AB">
              <w:rPr>
                <w:rFonts w:ascii="Georgia" w:hAnsi="Georgia"/>
                <w:b/>
                <w:sz w:val="20"/>
                <w:szCs w:val="20"/>
              </w:rPr>
              <w:t>Clarification</w:t>
            </w:r>
            <w:r>
              <w:rPr>
                <w:rFonts w:ascii="Georgia" w:hAnsi="Georgia"/>
                <w:b/>
                <w:sz w:val="20"/>
                <w:szCs w:val="20"/>
              </w:rPr>
              <w:t>/ Information</w:t>
            </w:r>
            <w:r w:rsidRPr="003055AB">
              <w:rPr>
                <w:rFonts w:ascii="Georgia" w:hAnsi="Georgia"/>
                <w:b/>
                <w:sz w:val="20"/>
                <w:szCs w:val="20"/>
              </w:rPr>
              <w:t xml:space="preserve"> Required</w:t>
            </w:r>
          </w:p>
        </w:tc>
        <w:tc>
          <w:tcPr>
            <w:tcW w:w="3402" w:type="dxa"/>
            <w:shd w:val="clear" w:color="auto" w:fill="F2F2F2" w:themeFill="background1" w:themeFillShade="F2"/>
          </w:tcPr>
          <w:p w:rsidR="00D15167" w:rsidRPr="00D203BC" w:rsidRDefault="00D203BC" w:rsidP="003055AB">
            <w:pPr>
              <w:spacing w:before="120" w:after="120"/>
              <w:jc w:val="center"/>
              <w:rPr>
                <w:rFonts w:ascii="Georgia" w:hAnsi="Georgia"/>
                <w:b/>
                <w:szCs w:val="20"/>
              </w:rPr>
            </w:pPr>
            <w:r>
              <w:rPr>
                <w:rFonts w:ascii="Georgia" w:hAnsi="Georgia"/>
                <w:b/>
                <w:color w:val="00B050"/>
                <w:szCs w:val="20"/>
              </w:rPr>
              <w:t>ANSWERS</w:t>
            </w:r>
          </w:p>
        </w:tc>
      </w:tr>
      <w:tr w:rsidR="00D15167" w:rsidTr="000B00D1">
        <w:tc>
          <w:tcPr>
            <w:tcW w:w="804" w:type="dxa"/>
          </w:tcPr>
          <w:p w:rsidR="00D15167" w:rsidRDefault="00D15167" w:rsidP="0091111C">
            <w:pPr>
              <w:spacing w:before="120" w:after="120"/>
              <w:jc w:val="center"/>
              <w:rPr>
                <w:rFonts w:ascii="Georgia" w:hAnsi="Georgia"/>
                <w:sz w:val="20"/>
                <w:szCs w:val="20"/>
              </w:rPr>
            </w:pPr>
            <w:r>
              <w:rPr>
                <w:rFonts w:ascii="Georgia" w:hAnsi="Georgia"/>
                <w:sz w:val="20"/>
                <w:szCs w:val="20"/>
              </w:rPr>
              <w:t>1</w:t>
            </w:r>
          </w:p>
        </w:tc>
        <w:tc>
          <w:tcPr>
            <w:tcW w:w="1975" w:type="dxa"/>
          </w:tcPr>
          <w:p w:rsidR="00D15167" w:rsidRDefault="00D15167" w:rsidP="004B46EE">
            <w:pPr>
              <w:spacing w:before="120" w:after="120"/>
              <w:rPr>
                <w:rFonts w:ascii="Georgia" w:hAnsi="Georgia"/>
                <w:sz w:val="20"/>
                <w:szCs w:val="20"/>
              </w:rPr>
            </w:pPr>
            <w:r>
              <w:rPr>
                <w:rFonts w:ascii="Georgia" w:hAnsi="Georgia"/>
                <w:sz w:val="20"/>
                <w:szCs w:val="20"/>
              </w:rPr>
              <w:t>Section 2, Instructions to Firms, (C) Preparation and Submission of Proposals, 7 (f)</w:t>
            </w:r>
          </w:p>
        </w:tc>
        <w:tc>
          <w:tcPr>
            <w:tcW w:w="3169" w:type="dxa"/>
          </w:tcPr>
          <w:p w:rsidR="00D15167" w:rsidRPr="003055AB" w:rsidRDefault="00D15167" w:rsidP="00327760">
            <w:pPr>
              <w:spacing w:before="120" w:after="120"/>
              <w:rPr>
                <w:rFonts w:ascii="Georgia" w:hAnsi="Georgia"/>
                <w:sz w:val="20"/>
                <w:szCs w:val="20"/>
              </w:rPr>
            </w:pPr>
            <w:r w:rsidRPr="00B24EB5">
              <w:rPr>
                <w:rFonts w:ascii="Georgia" w:hAnsi="Georgia"/>
                <w:sz w:val="20"/>
                <w:szCs w:val="20"/>
              </w:rPr>
              <w:t xml:space="preserve">Comments and suggestions on the terms of reference, counterpart staff, and facilities to be provided by the client </w:t>
            </w:r>
          </w:p>
        </w:tc>
        <w:tc>
          <w:tcPr>
            <w:tcW w:w="3402" w:type="dxa"/>
          </w:tcPr>
          <w:p w:rsidR="00D15167" w:rsidRDefault="00D15167" w:rsidP="002E45F7">
            <w:pPr>
              <w:spacing w:before="120" w:after="120"/>
              <w:rPr>
                <w:rFonts w:ascii="Georgia" w:hAnsi="Georgia"/>
                <w:sz w:val="20"/>
                <w:szCs w:val="20"/>
              </w:rPr>
            </w:pPr>
            <w:r>
              <w:rPr>
                <w:rFonts w:ascii="Georgia" w:hAnsi="Georgia"/>
                <w:sz w:val="20"/>
                <w:szCs w:val="20"/>
              </w:rPr>
              <w:t>Clarification is requested on whether the comments and suggestions are mandatorily required within the proposal</w:t>
            </w:r>
          </w:p>
          <w:p w:rsidR="00D15167" w:rsidRDefault="00D15167" w:rsidP="002E45F7">
            <w:pPr>
              <w:spacing w:before="120" w:after="120"/>
              <w:rPr>
                <w:rFonts w:ascii="Georgia" w:hAnsi="Georgia"/>
                <w:sz w:val="20"/>
                <w:szCs w:val="20"/>
              </w:rPr>
            </w:pPr>
          </w:p>
        </w:tc>
        <w:tc>
          <w:tcPr>
            <w:tcW w:w="3402" w:type="dxa"/>
          </w:tcPr>
          <w:p w:rsidR="00D15167" w:rsidRPr="00D203BC" w:rsidRDefault="00D15167" w:rsidP="002E45F7">
            <w:pPr>
              <w:spacing w:before="120" w:after="120"/>
              <w:rPr>
                <w:rFonts w:ascii="Georgia" w:hAnsi="Georgia"/>
                <w:b/>
                <w:szCs w:val="20"/>
              </w:rPr>
            </w:pPr>
            <w:r w:rsidRPr="00D203BC">
              <w:rPr>
                <w:rFonts w:ascii="Georgia" w:hAnsi="Georgia"/>
                <w:b/>
                <w:szCs w:val="20"/>
              </w:rPr>
              <w:t xml:space="preserve">Yes. Even “No comments” on ToRs and vendors expectations regarding counterpart staff at SBP/KRN and facilities required </w:t>
            </w:r>
            <w:r w:rsidR="00B06D38" w:rsidRPr="00D203BC">
              <w:rPr>
                <w:rFonts w:ascii="Georgia" w:hAnsi="Georgia"/>
                <w:b/>
                <w:szCs w:val="20"/>
              </w:rPr>
              <w:t xml:space="preserve">by the consultant </w:t>
            </w:r>
            <w:r w:rsidRPr="00D203BC">
              <w:rPr>
                <w:rFonts w:ascii="Georgia" w:hAnsi="Georgia"/>
                <w:b/>
                <w:szCs w:val="20"/>
              </w:rPr>
              <w:t>will suffice.</w:t>
            </w:r>
          </w:p>
          <w:p w:rsidR="00B06D38" w:rsidRPr="00D203BC" w:rsidRDefault="00B06D38" w:rsidP="002E45F7">
            <w:pPr>
              <w:spacing w:before="120" w:after="120"/>
              <w:rPr>
                <w:rFonts w:ascii="Georgia" w:hAnsi="Georgia"/>
                <w:b/>
                <w:szCs w:val="20"/>
              </w:rPr>
            </w:pPr>
          </w:p>
        </w:tc>
      </w:tr>
      <w:tr w:rsidR="00D15167" w:rsidTr="000B00D1">
        <w:tc>
          <w:tcPr>
            <w:tcW w:w="804" w:type="dxa"/>
          </w:tcPr>
          <w:p w:rsidR="00D15167" w:rsidRDefault="00D15167" w:rsidP="0091111C">
            <w:pPr>
              <w:spacing w:before="120" w:after="120"/>
              <w:jc w:val="center"/>
              <w:rPr>
                <w:rFonts w:ascii="Georgia" w:hAnsi="Georgia"/>
                <w:sz w:val="20"/>
                <w:szCs w:val="20"/>
              </w:rPr>
            </w:pPr>
            <w:r>
              <w:rPr>
                <w:rFonts w:ascii="Georgia" w:hAnsi="Georgia"/>
                <w:sz w:val="20"/>
                <w:szCs w:val="20"/>
              </w:rPr>
              <w:t>2</w:t>
            </w:r>
          </w:p>
        </w:tc>
        <w:tc>
          <w:tcPr>
            <w:tcW w:w="1975" w:type="dxa"/>
          </w:tcPr>
          <w:p w:rsidR="00D15167" w:rsidRDefault="00D15167" w:rsidP="00EE400D">
            <w:pPr>
              <w:spacing w:before="120" w:after="120"/>
              <w:rPr>
                <w:rFonts w:ascii="Georgia" w:hAnsi="Georgia"/>
                <w:sz w:val="20"/>
                <w:szCs w:val="20"/>
              </w:rPr>
            </w:pPr>
            <w:r>
              <w:rPr>
                <w:rFonts w:ascii="Georgia" w:hAnsi="Georgia"/>
                <w:sz w:val="20"/>
                <w:szCs w:val="20"/>
              </w:rPr>
              <w:t>Section 4, Terms of Reference, About the Project</w:t>
            </w:r>
          </w:p>
        </w:tc>
        <w:tc>
          <w:tcPr>
            <w:tcW w:w="3169" w:type="dxa"/>
          </w:tcPr>
          <w:p w:rsidR="00D15167" w:rsidRPr="00B24EB5" w:rsidRDefault="00D15167" w:rsidP="00327760">
            <w:pPr>
              <w:spacing w:before="120" w:after="120"/>
              <w:rPr>
                <w:rFonts w:ascii="Georgia" w:hAnsi="Georgia"/>
                <w:sz w:val="20"/>
                <w:szCs w:val="20"/>
              </w:rPr>
            </w:pPr>
            <w:r w:rsidRPr="00EE400D">
              <w:rPr>
                <w:rFonts w:ascii="Georgia" w:hAnsi="Georgia"/>
                <w:sz w:val="20"/>
                <w:szCs w:val="20"/>
              </w:rPr>
              <w:t>The term “Digital Banks” in this RFP is being used to refer to Digital-only Banks/Virtual Banks/Challenger Banks/Neo Banks/online-only banks and other similar types of Banks (referred to as “Digital Banks” henceforth).</w:t>
            </w:r>
          </w:p>
        </w:tc>
        <w:tc>
          <w:tcPr>
            <w:tcW w:w="3402" w:type="dxa"/>
          </w:tcPr>
          <w:p w:rsidR="00D15167" w:rsidRDefault="00D15167" w:rsidP="002E45F7">
            <w:pPr>
              <w:spacing w:before="120" w:after="120"/>
              <w:rPr>
                <w:rFonts w:ascii="Georgia" w:hAnsi="Georgia"/>
                <w:sz w:val="20"/>
                <w:szCs w:val="20"/>
              </w:rPr>
            </w:pPr>
            <w:r>
              <w:rPr>
                <w:rFonts w:ascii="Georgia" w:hAnsi="Georgia"/>
                <w:sz w:val="20"/>
                <w:szCs w:val="20"/>
              </w:rPr>
              <w:t>The span of Digital Banking may be quite wider and may include other entities/ functions, particularly the following:</w:t>
            </w:r>
          </w:p>
          <w:p w:rsidR="00D15167" w:rsidRPr="00872B8C" w:rsidRDefault="00D15167" w:rsidP="00EE400D">
            <w:pPr>
              <w:pStyle w:val="ListParagraph"/>
              <w:numPr>
                <w:ilvl w:val="0"/>
                <w:numId w:val="3"/>
              </w:numPr>
              <w:ind w:left="526"/>
              <w:rPr>
                <w:rFonts w:ascii="Georgia" w:hAnsi="Georgia"/>
                <w:sz w:val="20"/>
                <w:szCs w:val="20"/>
              </w:rPr>
            </w:pPr>
            <w:r w:rsidRPr="00872B8C">
              <w:rPr>
                <w:rFonts w:ascii="Georgia" w:hAnsi="Georgia"/>
                <w:sz w:val="20"/>
                <w:szCs w:val="20"/>
              </w:rPr>
              <w:t>Digital light banks focusing on niche customer segments/ economic sectors/ products</w:t>
            </w:r>
            <w:r>
              <w:rPr>
                <w:rFonts w:ascii="Georgia" w:hAnsi="Georgia"/>
                <w:sz w:val="20"/>
                <w:szCs w:val="20"/>
              </w:rPr>
              <w:t xml:space="preserve"> (e.g. AI enabled digital lending etc.)</w:t>
            </w:r>
          </w:p>
          <w:p w:rsidR="00D15167" w:rsidRPr="00872B8C" w:rsidRDefault="00D15167" w:rsidP="00EE400D">
            <w:pPr>
              <w:pStyle w:val="ListParagraph"/>
              <w:numPr>
                <w:ilvl w:val="0"/>
                <w:numId w:val="3"/>
              </w:numPr>
              <w:ind w:left="526"/>
              <w:rPr>
                <w:rFonts w:ascii="Georgia" w:hAnsi="Georgia"/>
                <w:sz w:val="20"/>
                <w:szCs w:val="20"/>
              </w:rPr>
            </w:pPr>
            <w:r w:rsidRPr="00872B8C">
              <w:rPr>
                <w:rFonts w:ascii="Georgia" w:hAnsi="Georgia"/>
                <w:sz w:val="20"/>
                <w:szCs w:val="20"/>
              </w:rPr>
              <w:t>Payment banks/ institutions</w:t>
            </w:r>
          </w:p>
          <w:p w:rsidR="00D15167" w:rsidRPr="00872B8C" w:rsidRDefault="00D15167" w:rsidP="00EE400D">
            <w:pPr>
              <w:pStyle w:val="ListParagraph"/>
              <w:numPr>
                <w:ilvl w:val="0"/>
                <w:numId w:val="3"/>
              </w:numPr>
              <w:ind w:left="526"/>
              <w:rPr>
                <w:rFonts w:ascii="Georgia" w:hAnsi="Georgia"/>
                <w:sz w:val="20"/>
                <w:szCs w:val="20"/>
              </w:rPr>
            </w:pPr>
            <w:r w:rsidRPr="00872B8C">
              <w:rPr>
                <w:rFonts w:ascii="Georgia" w:hAnsi="Georgia"/>
                <w:sz w:val="20"/>
                <w:szCs w:val="20"/>
              </w:rPr>
              <w:t>Micro digital banks/ institutions</w:t>
            </w:r>
          </w:p>
          <w:p w:rsidR="00D15167" w:rsidRDefault="00D15167" w:rsidP="00EE400D">
            <w:pPr>
              <w:pStyle w:val="ListParagraph"/>
              <w:numPr>
                <w:ilvl w:val="0"/>
                <w:numId w:val="3"/>
              </w:numPr>
              <w:ind w:left="526"/>
              <w:rPr>
                <w:rFonts w:ascii="Georgia" w:hAnsi="Georgia"/>
                <w:sz w:val="20"/>
                <w:szCs w:val="20"/>
              </w:rPr>
            </w:pPr>
            <w:r w:rsidRPr="00872B8C">
              <w:rPr>
                <w:rFonts w:ascii="Georgia" w:hAnsi="Georgia"/>
                <w:sz w:val="20"/>
                <w:szCs w:val="20"/>
              </w:rPr>
              <w:t>Mobile only banks</w:t>
            </w:r>
          </w:p>
          <w:p w:rsidR="00D15167" w:rsidRDefault="00D15167" w:rsidP="00EE400D">
            <w:pPr>
              <w:pStyle w:val="ListParagraph"/>
              <w:numPr>
                <w:ilvl w:val="0"/>
                <w:numId w:val="3"/>
              </w:numPr>
              <w:ind w:left="526"/>
              <w:rPr>
                <w:rFonts w:ascii="Georgia" w:hAnsi="Georgia"/>
                <w:sz w:val="20"/>
                <w:szCs w:val="20"/>
              </w:rPr>
            </w:pPr>
            <w:r>
              <w:rPr>
                <w:rFonts w:ascii="Georgia" w:hAnsi="Georgia"/>
                <w:sz w:val="20"/>
                <w:szCs w:val="20"/>
              </w:rPr>
              <w:t>Digital brand/ function of a commercial bank</w:t>
            </w:r>
          </w:p>
          <w:p w:rsidR="00D15167" w:rsidRDefault="00D15167" w:rsidP="00AB45D5">
            <w:pPr>
              <w:pStyle w:val="ListParagraph"/>
              <w:numPr>
                <w:ilvl w:val="0"/>
                <w:numId w:val="3"/>
              </w:numPr>
              <w:ind w:left="526"/>
              <w:rPr>
                <w:rFonts w:ascii="Georgia" w:hAnsi="Georgia"/>
                <w:sz w:val="20"/>
                <w:szCs w:val="20"/>
              </w:rPr>
            </w:pPr>
            <w:r w:rsidRPr="00FC2542">
              <w:rPr>
                <w:rFonts w:ascii="Georgia" w:hAnsi="Georgia"/>
                <w:sz w:val="20"/>
                <w:szCs w:val="20"/>
              </w:rPr>
              <w:lastRenderedPageBreak/>
              <w:t xml:space="preserve">Digital subsidiary of a commercial bank </w:t>
            </w:r>
          </w:p>
          <w:p w:rsidR="00D15167" w:rsidRPr="00FC2542" w:rsidRDefault="00D15167" w:rsidP="00FC2542">
            <w:pPr>
              <w:pStyle w:val="ListParagraph"/>
              <w:ind w:left="526"/>
              <w:rPr>
                <w:rFonts w:ascii="Georgia" w:hAnsi="Georgia"/>
                <w:sz w:val="20"/>
                <w:szCs w:val="20"/>
              </w:rPr>
            </w:pPr>
          </w:p>
          <w:p w:rsidR="00D15167" w:rsidRDefault="00D15167" w:rsidP="00EE400D">
            <w:pPr>
              <w:rPr>
                <w:rFonts w:ascii="Georgia" w:hAnsi="Georgia"/>
                <w:sz w:val="20"/>
                <w:szCs w:val="20"/>
              </w:rPr>
            </w:pPr>
            <w:r>
              <w:rPr>
                <w:rFonts w:ascii="Georgia" w:hAnsi="Georgia"/>
                <w:sz w:val="20"/>
                <w:szCs w:val="20"/>
              </w:rPr>
              <w:t>Clarification is requested on whether the term ‘Digital Banking’ used within this RFP may also cover the above listed.</w:t>
            </w:r>
          </w:p>
          <w:p w:rsidR="00D15167" w:rsidRPr="00EE400D" w:rsidRDefault="00D15167" w:rsidP="00EE400D">
            <w:pPr>
              <w:rPr>
                <w:rFonts w:ascii="Georgia" w:hAnsi="Georgia"/>
                <w:sz w:val="20"/>
                <w:szCs w:val="20"/>
              </w:rPr>
            </w:pPr>
          </w:p>
        </w:tc>
        <w:tc>
          <w:tcPr>
            <w:tcW w:w="3402" w:type="dxa"/>
          </w:tcPr>
          <w:p w:rsidR="00D15167" w:rsidRPr="00D203BC" w:rsidRDefault="00D15167" w:rsidP="002E45F7">
            <w:pPr>
              <w:spacing w:before="120" w:after="120"/>
              <w:rPr>
                <w:rFonts w:ascii="Georgia" w:hAnsi="Georgia"/>
                <w:b/>
                <w:szCs w:val="20"/>
              </w:rPr>
            </w:pPr>
            <w:r w:rsidRPr="00D203BC">
              <w:rPr>
                <w:rFonts w:ascii="Georgia" w:hAnsi="Georgia"/>
                <w:b/>
                <w:szCs w:val="20"/>
              </w:rPr>
              <w:lastRenderedPageBreak/>
              <w:t xml:space="preserve">Yes. </w:t>
            </w:r>
          </w:p>
          <w:p w:rsidR="00D15167" w:rsidRPr="00D203BC" w:rsidRDefault="00D15167" w:rsidP="00D15167">
            <w:pPr>
              <w:spacing w:before="120" w:after="120"/>
              <w:rPr>
                <w:rFonts w:ascii="Georgia" w:hAnsi="Georgia"/>
                <w:b/>
                <w:szCs w:val="20"/>
              </w:rPr>
            </w:pPr>
            <w:r w:rsidRPr="00D203BC">
              <w:rPr>
                <w:rFonts w:ascii="Georgia" w:hAnsi="Georgia"/>
                <w:b/>
                <w:szCs w:val="20"/>
              </w:rPr>
              <w:t>Please refer to Scope of Work – Activity-I. “Detailed assessment report will define digital banks; identify building blocks for Digital Banks including product and services; identify risks to introduce proportionate regulations; and compare different regulations.”</w:t>
            </w:r>
          </w:p>
          <w:p w:rsidR="00D15167" w:rsidRPr="00D203BC" w:rsidRDefault="00D15167" w:rsidP="00D15167">
            <w:pPr>
              <w:spacing w:before="120" w:after="120"/>
              <w:rPr>
                <w:rFonts w:ascii="Georgia" w:hAnsi="Georgia"/>
                <w:b/>
                <w:szCs w:val="20"/>
              </w:rPr>
            </w:pPr>
            <w:r w:rsidRPr="00D203BC">
              <w:rPr>
                <w:rFonts w:ascii="Georgia" w:hAnsi="Georgia"/>
                <w:b/>
                <w:szCs w:val="20"/>
              </w:rPr>
              <w:lastRenderedPageBreak/>
              <w:t>It is expected that the consultant will facilitate SBP to build consensus around the definition and building blocks of “digital banks” based on the comparative analysis and stakeholder consultations.</w:t>
            </w:r>
          </w:p>
        </w:tc>
      </w:tr>
      <w:tr w:rsidR="00D15167" w:rsidTr="000B00D1">
        <w:tc>
          <w:tcPr>
            <w:tcW w:w="804" w:type="dxa"/>
          </w:tcPr>
          <w:p w:rsidR="00D15167" w:rsidRDefault="00D15167" w:rsidP="0091111C">
            <w:pPr>
              <w:spacing w:before="120" w:after="120"/>
              <w:jc w:val="center"/>
              <w:rPr>
                <w:rFonts w:ascii="Georgia" w:hAnsi="Georgia"/>
                <w:sz w:val="20"/>
                <w:szCs w:val="20"/>
              </w:rPr>
            </w:pPr>
            <w:r>
              <w:rPr>
                <w:rFonts w:ascii="Georgia" w:hAnsi="Georgia"/>
                <w:sz w:val="20"/>
                <w:szCs w:val="20"/>
              </w:rPr>
              <w:lastRenderedPageBreak/>
              <w:t>3</w:t>
            </w:r>
          </w:p>
        </w:tc>
        <w:tc>
          <w:tcPr>
            <w:tcW w:w="1975" w:type="dxa"/>
          </w:tcPr>
          <w:p w:rsidR="00D15167" w:rsidRDefault="00D15167" w:rsidP="004B46EE">
            <w:pPr>
              <w:spacing w:before="120" w:after="120"/>
              <w:rPr>
                <w:rFonts w:ascii="Georgia" w:hAnsi="Georgia"/>
                <w:sz w:val="20"/>
                <w:szCs w:val="20"/>
              </w:rPr>
            </w:pPr>
            <w:r>
              <w:rPr>
                <w:rFonts w:ascii="Georgia" w:hAnsi="Georgia"/>
                <w:sz w:val="20"/>
                <w:szCs w:val="20"/>
              </w:rPr>
              <w:t>Section 4, Terms of Reference, About the Project</w:t>
            </w:r>
          </w:p>
        </w:tc>
        <w:tc>
          <w:tcPr>
            <w:tcW w:w="3169" w:type="dxa"/>
          </w:tcPr>
          <w:p w:rsidR="00D15167" w:rsidRPr="00B24EB5" w:rsidRDefault="00D15167" w:rsidP="00327760">
            <w:pPr>
              <w:spacing w:before="120" w:after="120"/>
              <w:rPr>
                <w:rFonts w:ascii="Georgia" w:hAnsi="Georgia"/>
                <w:sz w:val="20"/>
                <w:szCs w:val="20"/>
              </w:rPr>
            </w:pPr>
            <w:r w:rsidRPr="00FC2542">
              <w:rPr>
                <w:rFonts w:ascii="Georgia" w:hAnsi="Georgia"/>
                <w:sz w:val="20"/>
                <w:szCs w:val="20"/>
              </w:rPr>
              <w:t>The main objective of this assignment is to assist State Bank of Pakistan (SBP) in ascertaining and formulating a comprehensive Regulatory Framework for Digital Banks in order to create an enabling environment for extending low cost Digital Financial Services (DFS) to the unbanked and underbanked population of Pakistan. Keeping in view the importance of technological innovations/Fintechs for financial inclusion, modern modes of banking services and demand from the industry, SBP is considering developing an enabling regulatory environment and framework (including licensing criteria and operating framework) for Digital Banks.</w:t>
            </w:r>
          </w:p>
        </w:tc>
        <w:tc>
          <w:tcPr>
            <w:tcW w:w="3402" w:type="dxa"/>
          </w:tcPr>
          <w:p w:rsidR="00D15167" w:rsidRDefault="00D15167" w:rsidP="002E45F7">
            <w:pPr>
              <w:spacing w:before="120" w:after="120"/>
              <w:rPr>
                <w:rFonts w:ascii="Georgia" w:hAnsi="Georgia"/>
                <w:sz w:val="20"/>
                <w:szCs w:val="20"/>
              </w:rPr>
            </w:pPr>
            <w:r>
              <w:rPr>
                <w:rFonts w:ascii="Georgia" w:hAnsi="Georgia"/>
                <w:sz w:val="20"/>
                <w:szCs w:val="20"/>
              </w:rPr>
              <w:t xml:space="preserve">Digital banking may also intend to have a commercial purpose beyond much needed financial inclusion agenda of outreach to unbanked or underbanked. </w:t>
            </w:r>
          </w:p>
          <w:p w:rsidR="00D15167" w:rsidRDefault="00D15167" w:rsidP="002E45F7">
            <w:pPr>
              <w:spacing w:before="120" w:after="120"/>
              <w:rPr>
                <w:rFonts w:ascii="Georgia" w:hAnsi="Georgia"/>
                <w:sz w:val="20"/>
                <w:szCs w:val="20"/>
              </w:rPr>
            </w:pPr>
            <w:r>
              <w:rPr>
                <w:rFonts w:ascii="Georgia" w:hAnsi="Georgia"/>
                <w:sz w:val="20"/>
                <w:szCs w:val="20"/>
              </w:rPr>
              <w:t>Clarification is requested on whether the required regulatory framework for digital banking is to:</w:t>
            </w:r>
          </w:p>
          <w:p w:rsidR="00D15167" w:rsidRDefault="00D15167" w:rsidP="00BB2877">
            <w:pPr>
              <w:pStyle w:val="ListParagraph"/>
              <w:numPr>
                <w:ilvl w:val="0"/>
                <w:numId w:val="3"/>
              </w:numPr>
              <w:ind w:left="526"/>
              <w:rPr>
                <w:rFonts w:ascii="Georgia" w:hAnsi="Georgia"/>
                <w:sz w:val="20"/>
                <w:szCs w:val="20"/>
              </w:rPr>
            </w:pPr>
            <w:r>
              <w:rPr>
                <w:rFonts w:ascii="Georgia" w:hAnsi="Georgia"/>
                <w:sz w:val="20"/>
                <w:szCs w:val="20"/>
              </w:rPr>
              <w:t>primarily facilitate low cost digital financial services to the unbanked/ underserved markets; or</w:t>
            </w:r>
          </w:p>
          <w:p w:rsidR="00D15167" w:rsidRDefault="00D15167" w:rsidP="00860B67">
            <w:pPr>
              <w:pStyle w:val="ListParagraph"/>
              <w:numPr>
                <w:ilvl w:val="0"/>
                <w:numId w:val="3"/>
              </w:numPr>
              <w:ind w:left="526"/>
              <w:rPr>
                <w:rFonts w:ascii="Georgia" w:hAnsi="Georgia"/>
                <w:sz w:val="20"/>
                <w:szCs w:val="20"/>
              </w:rPr>
            </w:pPr>
            <w:r>
              <w:rPr>
                <w:rFonts w:ascii="Georgia" w:hAnsi="Georgia"/>
                <w:sz w:val="20"/>
                <w:szCs w:val="20"/>
              </w:rPr>
              <w:t>address both the objectives of ensuring low cost digital financial access to the unbanked/ underserved markets AND undertaking of commercial banking activities through digital means, catering to different deposit, credit, purchasing/ spending, payment, collections, trade, remittance, insurance, investments and ancillary financial needs of customers.</w:t>
            </w:r>
          </w:p>
          <w:p w:rsidR="00D15167" w:rsidRDefault="00D15167" w:rsidP="00860B67">
            <w:pPr>
              <w:pStyle w:val="ListParagraph"/>
              <w:ind w:left="526"/>
              <w:rPr>
                <w:rFonts w:ascii="Georgia" w:hAnsi="Georgia"/>
                <w:sz w:val="20"/>
                <w:szCs w:val="20"/>
              </w:rPr>
            </w:pPr>
          </w:p>
        </w:tc>
        <w:tc>
          <w:tcPr>
            <w:tcW w:w="3402" w:type="dxa"/>
          </w:tcPr>
          <w:p w:rsidR="00D15167" w:rsidRPr="00D203BC" w:rsidRDefault="00C6045E" w:rsidP="002E45F7">
            <w:pPr>
              <w:spacing w:before="120" w:after="120"/>
              <w:rPr>
                <w:rFonts w:ascii="Georgia" w:hAnsi="Georgia"/>
                <w:b/>
                <w:szCs w:val="20"/>
              </w:rPr>
            </w:pPr>
            <w:r w:rsidRPr="00D203BC">
              <w:rPr>
                <w:rFonts w:ascii="Georgia" w:hAnsi="Georgia"/>
                <w:b/>
                <w:szCs w:val="20"/>
              </w:rPr>
              <w:t xml:space="preserve">This will cover both the objectives. </w:t>
            </w:r>
          </w:p>
        </w:tc>
      </w:tr>
      <w:tr w:rsidR="00D15167" w:rsidTr="000B00D1">
        <w:tc>
          <w:tcPr>
            <w:tcW w:w="804" w:type="dxa"/>
          </w:tcPr>
          <w:p w:rsidR="00D15167" w:rsidRDefault="00D15167" w:rsidP="0091111C">
            <w:pPr>
              <w:spacing w:before="120" w:after="120"/>
              <w:jc w:val="center"/>
              <w:rPr>
                <w:rFonts w:ascii="Georgia" w:hAnsi="Georgia"/>
                <w:sz w:val="20"/>
                <w:szCs w:val="20"/>
              </w:rPr>
            </w:pPr>
            <w:r>
              <w:rPr>
                <w:rFonts w:ascii="Georgia" w:hAnsi="Georgia"/>
                <w:sz w:val="20"/>
                <w:szCs w:val="20"/>
              </w:rPr>
              <w:lastRenderedPageBreak/>
              <w:t>4</w:t>
            </w:r>
          </w:p>
        </w:tc>
        <w:tc>
          <w:tcPr>
            <w:tcW w:w="1975" w:type="dxa"/>
          </w:tcPr>
          <w:p w:rsidR="00D15167" w:rsidRDefault="00D15167" w:rsidP="00805CCF">
            <w:pPr>
              <w:spacing w:before="120" w:after="120"/>
              <w:rPr>
                <w:rFonts w:ascii="Georgia" w:hAnsi="Georgia"/>
                <w:sz w:val="20"/>
                <w:szCs w:val="20"/>
              </w:rPr>
            </w:pPr>
            <w:r>
              <w:rPr>
                <w:rFonts w:ascii="Georgia" w:hAnsi="Georgia"/>
                <w:sz w:val="20"/>
                <w:szCs w:val="20"/>
              </w:rPr>
              <w:t xml:space="preserve">Section 4, Terms of Reference, Scope of Work, Activity – I: Comparative Analysis, Industry Consultation and Consensus Building  </w:t>
            </w:r>
          </w:p>
        </w:tc>
        <w:tc>
          <w:tcPr>
            <w:tcW w:w="3169" w:type="dxa"/>
          </w:tcPr>
          <w:p w:rsidR="00D15167" w:rsidRPr="00B24EB5" w:rsidRDefault="00D15167" w:rsidP="00327760">
            <w:pPr>
              <w:spacing w:before="120" w:after="120"/>
              <w:rPr>
                <w:rFonts w:ascii="Georgia" w:hAnsi="Georgia"/>
                <w:sz w:val="20"/>
                <w:szCs w:val="20"/>
              </w:rPr>
            </w:pPr>
            <w:r w:rsidRPr="00805CCF">
              <w:rPr>
                <w:rFonts w:ascii="Georgia" w:hAnsi="Georgia"/>
                <w:sz w:val="20"/>
                <w:szCs w:val="20"/>
              </w:rPr>
              <w:t>The consultant will conduct a detailed comparative analysis based on a comprehensive global scan of digital banks in other countries (including UK, Hong Kong, Singapore, India, etc.).</w:t>
            </w:r>
          </w:p>
        </w:tc>
        <w:tc>
          <w:tcPr>
            <w:tcW w:w="3402" w:type="dxa"/>
          </w:tcPr>
          <w:p w:rsidR="00D15167" w:rsidRDefault="00D15167" w:rsidP="0031657D">
            <w:pPr>
              <w:spacing w:before="120" w:after="120"/>
              <w:rPr>
                <w:rFonts w:ascii="Georgia" w:hAnsi="Georgia"/>
                <w:sz w:val="20"/>
                <w:szCs w:val="20"/>
              </w:rPr>
            </w:pPr>
            <w:r>
              <w:rPr>
                <w:rFonts w:ascii="Georgia" w:hAnsi="Georgia"/>
                <w:sz w:val="20"/>
                <w:szCs w:val="20"/>
              </w:rPr>
              <w:t xml:space="preserve">Apart from the countries specifically included in the RFP, is there any criteria for selection of benchmark jurisdictions e.g. </w:t>
            </w:r>
            <w:r w:rsidRPr="00805CCF">
              <w:rPr>
                <w:rFonts w:ascii="Georgia" w:hAnsi="Georgia"/>
                <w:sz w:val="20"/>
                <w:szCs w:val="20"/>
              </w:rPr>
              <w:t xml:space="preserve">a combination of those that are digitally mature </w:t>
            </w:r>
            <w:r>
              <w:rPr>
                <w:rFonts w:ascii="Georgia" w:hAnsi="Georgia"/>
                <w:sz w:val="20"/>
                <w:szCs w:val="20"/>
              </w:rPr>
              <w:t xml:space="preserve">such as </w:t>
            </w:r>
            <w:r w:rsidRPr="00805CCF">
              <w:rPr>
                <w:rFonts w:ascii="Georgia" w:hAnsi="Georgia"/>
                <w:sz w:val="20"/>
                <w:szCs w:val="20"/>
              </w:rPr>
              <w:t>EU (specifically Germany, Switzerland), and Australia, and those that have similarities to Pakistan e.g. Middle East, Turkey</w:t>
            </w:r>
          </w:p>
        </w:tc>
        <w:tc>
          <w:tcPr>
            <w:tcW w:w="3402" w:type="dxa"/>
          </w:tcPr>
          <w:p w:rsidR="005C36F8" w:rsidRPr="00D203BC" w:rsidRDefault="005C36F8" w:rsidP="0031657D">
            <w:pPr>
              <w:spacing w:before="120" w:after="120"/>
              <w:rPr>
                <w:rFonts w:ascii="Georgia" w:hAnsi="Georgia"/>
                <w:b/>
                <w:szCs w:val="20"/>
              </w:rPr>
            </w:pPr>
          </w:p>
          <w:p w:rsidR="005C36F8" w:rsidRPr="00D203BC" w:rsidRDefault="00C6045E" w:rsidP="0031657D">
            <w:pPr>
              <w:spacing w:before="120" w:after="120"/>
              <w:rPr>
                <w:rFonts w:ascii="Georgia" w:hAnsi="Georgia"/>
                <w:b/>
                <w:szCs w:val="20"/>
              </w:rPr>
            </w:pPr>
            <w:r w:rsidRPr="00D203BC">
              <w:rPr>
                <w:rFonts w:ascii="Georgia" w:hAnsi="Georgia"/>
                <w:b/>
                <w:szCs w:val="20"/>
              </w:rPr>
              <w:t xml:space="preserve">Proposed regulatory Framework may not be based on a specific benchmark jurisdiction. </w:t>
            </w:r>
          </w:p>
          <w:p w:rsidR="005C36F8" w:rsidRPr="00D203BC" w:rsidRDefault="00C6045E" w:rsidP="0031657D">
            <w:pPr>
              <w:spacing w:before="120" w:after="120"/>
              <w:rPr>
                <w:rFonts w:ascii="Georgia" w:hAnsi="Georgia"/>
                <w:b/>
                <w:szCs w:val="20"/>
              </w:rPr>
            </w:pPr>
            <w:r w:rsidRPr="00D203BC">
              <w:rPr>
                <w:rFonts w:ascii="Georgia" w:hAnsi="Georgia"/>
                <w:b/>
                <w:szCs w:val="20"/>
              </w:rPr>
              <w:t xml:space="preserve">Reference of some countries </w:t>
            </w:r>
            <w:r w:rsidR="005C36F8" w:rsidRPr="00D203BC">
              <w:rPr>
                <w:rFonts w:ascii="Georgia" w:hAnsi="Georgia"/>
                <w:b/>
                <w:szCs w:val="20"/>
              </w:rPr>
              <w:t xml:space="preserve">in the RFP </w:t>
            </w:r>
            <w:r w:rsidRPr="00D203BC">
              <w:rPr>
                <w:rFonts w:ascii="Georgia" w:hAnsi="Georgia"/>
                <w:b/>
                <w:szCs w:val="20"/>
              </w:rPr>
              <w:t xml:space="preserve">are examples of some countries where regulatory frameworks for Digital banks already exist and can be compared. </w:t>
            </w:r>
          </w:p>
          <w:p w:rsidR="00D15167" w:rsidRPr="00D203BC" w:rsidRDefault="005C36F8" w:rsidP="0031657D">
            <w:pPr>
              <w:spacing w:before="120" w:after="120"/>
              <w:rPr>
                <w:rFonts w:ascii="Georgia" w:hAnsi="Georgia"/>
                <w:b/>
                <w:szCs w:val="20"/>
              </w:rPr>
            </w:pPr>
            <w:r w:rsidRPr="00D203BC">
              <w:rPr>
                <w:rFonts w:ascii="Georgia" w:hAnsi="Georgia"/>
                <w:b/>
                <w:szCs w:val="20"/>
              </w:rPr>
              <w:t>It is at consultant’s discretion to propose additional jurisdictions and can be a part of technical proposal (Please refer to section 11.7.f.)</w:t>
            </w:r>
          </w:p>
        </w:tc>
      </w:tr>
      <w:tr w:rsidR="005C36F8" w:rsidTr="000B00D1">
        <w:trPr>
          <w:trHeight w:val="1574"/>
        </w:trPr>
        <w:tc>
          <w:tcPr>
            <w:tcW w:w="804" w:type="dxa"/>
            <w:vMerge w:val="restart"/>
          </w:tcPr>
          <w:p w:rsidR="005C36F8" w:rsidRDefault="005C36F8" w:rsidP="00D722BC">
            <w:pPr>
              <w:spacing w:before="120" w:after="120"/>
              <w:jc w:val="center"/>
              <w:rPr>
                <w:rFonts w:ascii="Georgia" w:hAnsi="Georgia"/>
                <w:sz w:val="20"/>
                <w:szCs w:val="20"/>
              </w:rPr>
            </w:pPr>
            <w:r>
              <w:rPr>
                <w:rFonts w:ascii="Georgia" w:hAnsi="Georgia"/>
                <w:sz w:val="20"/>
                <w:szCs w:val="20"/>
              </w:rPr>
              <w:t>5</w:t>
            </w:r>
          </w:p>
        </w:tc>
        <w:tc>
          <w:tcPr>
            <w:tcW w:w="1975" w:type="dxa"/>
            <w:vMerge w:val="restart"/>
          </w:tcPr>
          <w:p w:rsidR="005C36F8" w:rsidRDefault="005C36F8" w:rsidP="00176977">
            <w:pPr>
              <w:spacing w:before="120" w:after="120"/>
              <w:rPr>
                <w:rFonts w:ascii="Georgia" w:hAnsi="Georgia"/>
                <w:sz w:val="20"/>
                <w:szCs w:val="20"/>
              </w:rPr>
            </w:pPr>
            <w:r>
              <w:rPr>
                <w:rFonts w:ascii="Georgia" w:hAnsi="Georgia"/>
                <w:sz w:val="20"/>
                <w:szCs w:val="20"/>
              </w:rPr>
              <w:t>Section 4, Terms of Reference, Scope of Work, Activity – I: Comparative Analysis, Industry Consultation and Consensus Building</w:t>
            </w:r>
          </w:p>
        </w:tc>
        <w:tc>
          <w:tcPr>
            <w:tcW w:w="3169" w:type="dxa"/>
          </w:tcPr>
          <w:p w:rsidR="005C36F8" w:rsidRPr="00B24EB5" w:rsidRDefault="005C36F8" w:rsidP="00D722BC">
            <w:pPr>
              <w:spacing w:before="120" w:after="120"/>
              <w:rPr>
                <w:rFonts w:ascii="Georgia" w:hAnsi="Georgia"/>
                <w:sz w:val="20"/>
                <w:szCs w:val="20"/>
              </w:rPr>
            </w:pPr>
            <w:r w:rsidRPr="00D722BC">
              <w:rPr>
                <w:rFonts w:ascii="Georgia" w:hAnsi="Georgia"/>
                <w:sz w:val="20"/>
                <w:szCs w:val="20"/>
              </w:rPr>
              <w:t>The comparative analysis should be complemented with a review of Pakistan’s financial landscape and a stakeholder consultation</w:t>
            </w:r>
            <w:r>
              <w:rPr>
                <w:rFonts w:ascii="Georgia" w:hAnsi="Georgia"/>
                <w:sz w:val="20"/>
                <w:szCs w:val="20"/>
              </w:rPr>
              <w:t>.</w:t>
            </w:r>
          </w:p>
        </w:tc>
        <w:tc>
          <w:tcPr>
            <w:tcW w:w="3402" w:type="dxa"/>
            <w:vMerge w:val="restart"/>
            <w:shd w:val="clear" w:color="auto" w:fill="auto"/>
          </w:tcPr>
          <w:p w:rsidR="005C36F8" w:rsidRDefault="005C36F8" w:rsidP="00D722BC">
            <w:pPr>
              <w:spacing w:before="120" w:after="120"/>
              <w:rPr>
                <w:rFonts w:ascii="Georgia" w:hAnsi="Georgia"/>
                <w:sz w:val="20"/>
                <w:szCs w:val="20"/>
              </w:rPr>
            </w:pPr>
            <w:r>
              <w:rPr>
                <w:rFonts w:ascii="Georgia" w:hAnsi="Georgia"/>
                <w:sz w:val="20"/>
                <w:szCs w:val="20"/>
              </w:rPr>
              <w:t>Information is requested on who constitute the term ‘stakeholders’?</w:t>
            </w:r>
          </w:p>
          <w:p w:rsidR="00416E55" w:rsidRDefault="00416E55" w:rsidP="00D722BC">
            <w:pPr>
              <w:spacing w:before="120" w:after="120"/>
              <w:rPr>
                <w:rFonts w:ascii="Georgia" w:hAnsi="Georgia"/>
                <w:sz w:val="20"/>
                <w:szCs w:val="20"/>
              </w:rPr>
            </w:pPr>
          </w:p>
          <w:p w:rsidR="00416E55" w:rsidRDefault="00416E55" w:rsidP="00D722BC">
            <w:pPr>
              <w:spacing w:before="120" w:after="120"/>
              <w:rPr>
                <w:rFonts w:ascii="Georgia" w:hAnsi="Georgia"/>
                <w:sz w:val="20"/>
                <w:szCs w:val="20"/>
              </w:rPr>
            </w:pPr>
          </w:p>
          <w:p w:rsidR="00416E55" w:rsidRDefault="00416E55" w:rsidP="00D722BC">
            <w:pPr>
              <w:spacing w:before="120" w:after="120"/>
              <w:rPr>
                <w:rFonts w:ascii="Georgia" w:hAnsi="Georgia"/>
                <w:sz w:val="20"/>
                <w:szCs w:val="20"/>
              </w:rPr>
            </w:pPr>
          </w:p>
          <w:p w:rsidR="00416E55" w:rsidRDefault="00416E55" w:rsidP="00D722BC">
            <w:pPr>
              <w:spacing w:before="120" w:after="120"/>
              <w:rPr>
                <w:rFonts w:ascii="Georgia" w:hAnsi="Georgia"/>
                <w:sz w:val="20"/>
                <w:szCs w:val="20"/>
              </w:rPr>
            </w:pPr>
          </w:p>
          <w:p w:rsidR="00416E55" w:rsidRDefault="00416E55" w:rsidP="00D722BC">
            <w:pPr>
              <w:spacing w:before="120" w:after="120"/>
              <w:rPr>
                <w:rFonts w:ascii="Georgia" w:hAnsi="Georgia"/>
                <w:sz w:val="20"/>
                <w:szCs w:val="20"/>
              </w:rPr>
            </w:pPr>
          </w:p>
          <w:p w:rsidR="00416E55" w:rsidRDefault="00416E55" w:rsidP="00D722BC">
            <w:pPr>
              <w:spacing w:before="120" w:after="120"/>
              <w:rPr>
                <w:rFonts w:ascii="Georgia" w:hAnsi="Georgia"/>
                <w:sz w:val="20"/>
                <w:szCs w:val="20"/>
              </w:rPr>
            </w:pPr>
          </w:p>
          <w:p w:rsidR="00416E55" w:rsidRDefault="00416E55" w:rsidP="00D722BC">
            <w:pPr>
              <w:spacing w:before="120" w:after="120"/>
              <w:rPr>
                <w:rFonts w:ascii="Georgia" w:hAnsi="Georgia"/>
                <w:sz w:val="20"/>
                <w:szCs w:val="20"/>
              </w:rPr>
            </w:pPr>
          </w:p>
          <w:p w:rsidR="005C36F8" w:rsidRDefault="005C36F8" w:rsidP="00D722BC">
            <w:pPr>
              <w:spacing w:before="120" w:after="120"/>
              <w:rPr>
                <w:rFonts w:ascii="Georgia" w:hAnsi="Georgia"/>
                <w:sz w:val="20"/>
                <w:szCs w:val="20"/>
              </w:rPr>
            </w:pPr>
            <w:r>
              <w:rPr>
                <w:rFonts w:ascii="Georgia" w:hAnsi="Georgia"/>
                <w:sz w:val="20"/>
                <w:szCs w:val="20"/>
              </w:rPr>
              <w:lastRenderedPageBreak/>
              <w:t>Are stakeholders classified as ‘external stakeholders’ and ‘internal stakeholders’? If yes, who would constitute as ‘external stakeholders’ and who would constitute as ‘internal stakeholders’?</w:t>
            </w:r>
          </w:p>
          <w:p w:rsidR="00B06D38" w:rsidRDefault="00B06D38" w:rsidP="000440C1">
            <w:pPr>
              <w:spacing w:before="120" w:after="120"/>
              <w:rPr>
                <w:rFonts w:ascii="Georgia" w:hAnsi="Georgia"/>
                <w:sz w:val="20"/>
                <w:szCs w:val="20"/>
              </w:rPr>
            </w:pPr>
          </w:p>
          <w:p w:rsidR="00B06D38" w:rsidRDefault="00B06D38" w:rsidP="000440C1">
            <w:pPr>
              <w:spacing w:before="120" w:after="120"/>
              <w:rPr>
                <w:rFonts w:ascii="Georgia" w:hAnsi="Georgia"/>
                <w:sz w:val="20"/>
                <w:szCs w:val="20"/>
              </w:rPr>
            </w:pPr>
          </w:p>
          <w:p w:rsidR="00B06D38" w:rsidRDefault="00B06D38" w:rsidP="000440C1">
            <w:pPr>
              <w:spacing w:before="120" w:after="120"/>
              <w:rPr>
                <w:rFonts w:ascii="Georgia" w:hAnsi="Georgia"/>
                <w:sz w:val="20"/>
                <w:szCs w:val="20"/>
              </w:rPr>
            </w:pPr>
          </w:p>
          <w:p w:rsidR="00B06D38" w:rsidRDefault="00B06D38" w:rsidP="000440C1">
            <w:pPr>
              <w:spacing w:before="120" w:after="120"/>
              <w:rPr>
                <w:rFonts w:ascii="Georgia" w:hAnsi="Georgia"/>
                <w:sz w:val="20"/>
                <w:szCs w:val="20"/>
              </w:rPr>
            </w:pPr>
          </w:p>
          <w:p w:rsidR="00557F51" w:rsidRDefault="00557F51" w:rsidP="000440C1">
            <w:pPr>
              <w:spacing w:before="120" w:after="120"/>
              <w:rPr>
                <w:rFonts w:ascii="Georgia" w:hAnsi="Georgia"/>
                <w:sz w:val="20"/>
                <w:szCs w:val="20"/>
              </w:rPr>
            </w:pPr>
          </w:p>
          <w:p w:rsidR="00B06D38" w:rsidRDefault="00B06D38" w:rsidP="000440C1">
            <w:pPr>
              <w:spacing w:before="120" w:after="120"/>
              <w:rPr>
                <w:rFonts w:ascii="Georgia" w:hAnsi="Georgia"/>
                <w:sz w:val="20"/>
                <w:szCs w:val="20"/>
              </w:rPr>
            </w:pPr>
          </w:p>
          <w:p w:rsidR="005C36F8" w:rsidRDefault="005C36F8" w:rsidP="000440C1">
            <w:pPr>
              <w:spacing w:before="120" w:after="120"/>
              <w:rPr>
                <w:rFonts w:ascii="Georgia" w:hAnsi="Georgia"/>
                <w:sz w:val="20"/>
                <w:szCs w:val="20"/>
              </w:rPr>
            </w:pPr>
            <w:r>
              <w:rPr>
                <w:rFonts w:ascii="Georgia" w:hAnsi="Georgia"/>
                <w:sz w:val="20"/>
                <w:szCs w:val="20"/>
              </w:rPr>
              <w:t xml:space="preserve">Will these stakeholders be separate from those within the industry whom consultants are required to interact with?  </w:t>
            </w:r>
          </w:p>
          <w:p w:rsidR="00B06D38" w:rsidRDefault="00B06D38" w:rsidP="000440C1">
            <w:pPr>
              <w:spacing w:before="120" w:after="120"/>
              <w:rPr>
                <w:rFonts w:ascii="Georgia" w:hAnsi="Georgia"/>
                <w:sz w:val="20"/>
                <w:szCs w:val="20"/>
              </w:rPr>
            </w:pPr>
          </w:p>
          <w:p w:rsidR="00B06D38" w:rsidRDefault="00B06D38" w:rsidP="000440C1">
            <w:pPr>
              <w:spacing w:before="120" w:after="120"/>
              <w:rPr>
                <w:rFonts w:ascii="Georgia" w:hAnsi="Georgia"/>
                <w:sz w:val="20"/>
                <w:szCs w:val="20"/>
              </w:rPr>
            </w:pPr>
          </w:p>
          <w:p w:rsidR="005C36F8" w:rsidRDefault="005C36F8" w:rsidP="00D722BC">
            <w:pPr>
              <w:spacing w:before="120" w:after="120"/>
              <w:rPr>
                <w:rFonts w:ascii="Georgia" w:hAnsi="Georgia"/>
                <w:sz w:val="20"/>
                <w:szCs w:val="20"/>
              </w:rPr>
            </w:pPr>
            <w:r>
              <w:rPr>
                <w:rFonts w:ascii="Georgia" w:hAnsi="Georgia"/>
                <w:sz w:val="20"/>
                <w:szCs w:val="20"/>
              </w:rPr>
              <w:t>Which party to the contract will be responsible for onboarding stakeholders, including those with from the industry that the consultants are required to interact with e.g. Karandaaz or the consultants?</w:t>
            </w:r>
          </w:p>
          <w:p w:rsidR="00B06D38" w:rsidRDefault="00B06D38" w:rsidP="00D722BC">
            <w:pPr>
              <w:spacing w:before="120" w:after="120"/>
              <w:rPr>
                <w:rFonts w:ascii="Georgia" w:hAnsi="Georgia"/>
                <w:sz w:val="20"/>
                <w:szCs w:val="20"/>
              </w:rPr>
            </w:pPr>
          </w:p>
          <w:p w:rsidR="00B06D38" w:rsidRDefault="00B06D38" w:rsidP="00D722BC">
            <w:pPr>
              <w:spacing w:before="120" w:after="120"/>
              <w:rPr>
                <w:rFonts w:ascii="Georgia" w:hAnsi="Georgia"/>
                <w:sz w:val="20"/>
                <w:szCs w:val="20"/>
              </w:rPr>
            </w:pPr>
          </w:p>
          <w:p w:rsidR="008F1CE8" w:rsidRDefault="008F1CE8" w:rsidP="00D722BC">
            <w:pPr>
              <w:spacing w:before="120" w:after="120"/>
              <w:rPr>
                <w:rFonts w:ascii="Georgia" w:hAnsi="Georgia"/>
                <w:sz w:val="20"/>
                <w:szCs w:val="20"/>
              </w:rPr>
            </w:pPr>
          </w:p>
          <w:p w:rsidR="00B06D38" w:rsidRDefault="00B06D38" w:rsidP="00D722BC">
            <w:pPr>
              <w:spacing w:before="120" w:after="120"/>
              <w:rPr>
                <w:rFonts w:ascii="Georgia" w:hAnsi="Georgia"/>
                <w:sz w:val="20"/>
                <w:szCs w:val="20"/>
              </w:rPr>
            </w:pPr>
          </w:p>
          <w:p w:rsidR="005C36F8" w:rsidRDefault="005C36F8" w:rsidP="00D722BC">
            <w:pPr>
              <w:spacing w:before="120" w:after="120"/>
              <w:rPr>
                <w:rFonts w:ascii="Georgia" w:hAnsi="Georgia"/>
                <w:sz w:val="20"/>
                <w:szCs w:val="20"/>
              </w:rPr>
            </w:pPr>
            <w:r>
              <w:rPr>
                <w:rFonts w:ascii="Georgia" w:hAnsi="Georgia"/>
                <w:sz w:val="20"/>
                <w:szCs w:val="20"/>
              </w:rPr>
              <w:lastRenderedPageBreak/>
              <w:t xml:space="preserve">Will these stakeholders be separate from the members of the Steering Committee or be representatives of the same organizations to which the Steering Committee members belong? Specifically, who would be members of the Steering Committee? </w:t>
            </w:r>
          </w:p>
          <w:p w:rsidR="007E59E4" w:rsidRDefault="007E59E4" w:rsidP="00D722BC">
            <w:pPr>
              <w:spacing w:before="120" w:after="120"/>
              <w:rPr>
                <w:rFonts w:ascii="Georgia" w:hAnsi="Georgia"/>
                <w:sz w:val="20"/>
                <w:szCs w:val="20"/>
              </w:rPr>
            </w:pPr>
          </w:p>
          <w:p w:rsidR="007E59E4" w:rsidRDefault="007E59E4" w:rsidP="00D722BC">
            <w:pPr>
              <w:spacing w:before="120" w:after="120"/>
              <w:rPr>
                <w:rFonts w:ascii="Georgia" w:hAnsi="Georgia"/>
                <w:sz w:val="20"/>
                <w:szCs w:val="20"/>
              </w:rPr>
            </w:pPr>
          </w:p>
          <w:p w:rsidR="007E59E4" w:rsidRDefault="007E59E4" w:rsidP="00D722BC">
            <w:pPr>
              <w:spacing w:before="120" w:after="120"/>
              <w:rPr>
                <w:rFonts w:ascii="Georgia" w:hAnsi="Georgia"/>
                <w:sz w:val="20"/>
                <w:szCs w:val="20"/>
              </w:rPr>
            </w:pPr>
          </w:p>
          <w:p w:rsidR="008F1CE8" w:rsidRDefault="008F1CE8" w:rsidP="00D722BC">
            <w:pPr>
              <w:spacing w:before="120" w:after="120"/>
              <w:rPr>
                <w:rFonts w:ascii="Georgia" w:hAnsi="Georgia"/>
                <w:sz w:val="20"/>
                <w:szCs w:val="20"/>
              </w:rPr>
            </w:pPr>
          </w:p>
          <w:p w:rsidR="00AD41EA" w:rsidRDefault="00AD41EA" w:rsidP="00D722BC">
            <w:pPr>
              <w:spacing w:before="120" w:after="120"/>
              <w:rPr>
                <w:rFonts w:ascii="Georgia" w:hAnsi="Georgia"/>
                <w:sz w:val="20"/>
                <w:szCs w:val="20"/>
              </w:rPr>
            </w:pPr>
          </w:p>
          <w:p w:rsidR="005C36F8" w:rsidRPr="00E334B9" w:rsidRDefault="005C36F8" w:rsidP="00B34AA3">
            <w:pPr>
              <w:spacing w:before="120" w:after="120"/>
              <w:rPr>
                <w:rFonts w:ascii="Georgia" w:hAnsi="Georgia"/>
                <w:sz w:val="20"/>
                <w:szCs w:val="20"/>
              </w:rPr>
            </w:pPr>
            <w:r>
              <w:rPr>
                <w:rFonts w:ascii="Georgia" w:hAnsi="Georgia"/>
                <w:sz w:val="20"/>
                <w:szCs w:val="20"/>
              </w:rPr>
              <w:t xml:space="preserve">Apart from the above, the RFP states that </w:t>
            </w:r>
            <w:r w:rsidRPr="00951626">
              <w:rPr>
                <w:rFonts w:ascii="Georgia" w:hAnsi="Georgia"/>
                <w:sz w:val="20"/>
                <w:szCs w:val="20"/>
              </w:rPr>
              <w:t>the Consultant will recommend and develop consensus among Steering Committee members and SBP Management</w:t>
            </w:r>
            <w:r>
              <w:rPr>
                <w:rFonts w:ascii="Georgia" w:hAnsi="Georgia"/>
                <w:sz w:val="20"/>
                <w:szCs w:val="20"/>
              </w:rPr>
              <w:t xml:space="preserve">. Would such assistance be provided in the form of a working group? If </w:t>
            </w:r>
            <w:r>
              <w:rPr>
                <w:rFonts w:ascii="Georgia" w:hAnsi="Georgia"/>
                <w:sz w:val="20"/>
                <w:szCs w:val="20"/>
              </w:rPr>
              <w:lastRenderedPageBreak/>
              <w:t>so, which part to the contract would set up the working group and who would be its members?</w:t>
            </w:r>
          </w:p>
        </w:tc>
        <w:tc>
          <w:tcPr>
            <w:tcW w:w="3402" w:type="dxa"/>
            <w:vMerge w:val="restart"/>
          </w:tcPr>
          <w:p w:rsidR="00416E55" w:rsidRPr="00D203BC" w:rsidRDefault="00015FAE" w:rsidP="00416E55">
            <w:pPr>
              <w:spacing w:before="120" w:after="120"/>
              <w:jc w:val="both"/>
              <w:rPr>
                <w:rFonts w:ascii="Georgia" w:hAnsi="Georgia"/>
                <w:b/>
                <w:szCs w:val="20"/>
              </w:rPr>
            </w:pPr>
            <w:r w:rsidRPr="00D203BC">
              <w:rPr>
                <w:rFonts w:ascii="Georgia" w:hAnsi="Georgia"/>
                <w:b/>
                <w:szCs w:val="20"/>
              </w:rPr>
              <w:lastRenderedPageBreak/>
              <w:t xml:space="preserve">Please refer to section 11.7.a and ToRs section on Deliverable 2.1 “inception report”. We are expecting that as part of the approach and methodology, the consultant will be proposing the stakeholders and preferred methodology (workshop, meeting, </w:t>
            </w:r>
            <w:r w:rsidR="00AD41EA" w:rsidRPr="00D203BC">
              <w:rPr>
                <w:rFonts w:ascii="Georgia" w:hAnsi="Georgia"/>
                <w:b/>
                <w:szCs w:val="20"/>
              </w:rPr>
              <w:lastRenderedPageBreak/>
              <w:t xml:space="preserve">working groups, </w:t>
            </w:r>
            <w:r w:rsidRPr="00D203BC">
              <w:rPr>
                <w:rFonts w:ascii="Georgia" w:hAnsi="Georgia"/>
                <w:b/>
                <w:szCs w:val="20"/>
              </w:rPr>
              <w:t xml:space="preserve">surveys etc.) of consultation activity. </w:t>
            </w:r>
          </w:p>
          <w:p w:rsidR="005C36F8" w:rsidRPr="00D203BC" w:rsidRDefault="00416E55" w:rsidP="00416E55">
            <w:pPr>
              <w:spacing w:before="120" w:after="120"/>
              <w:jc w:val="both"/>
              <w:rPr>
                <w:rFonts w:ascii="Georgia" w:hAnsi="Georgia"/>
                <w:b/>
                <w:szCs w:val="20"/>
              </w:rPr>
            </w:pPr>
            <w:r w:rsidRPr="00D203BC">
              <w:rPr>
                <w:rFonts w:ascii="Georgia" w:hAnsi="Georgia"/>
                <w:b/>
                <w:szCs w:val="20"/>
              </w:rPr>
              <w:t xml:space="preserve">Internal stakeholders </w:t>
            </w:r>
            <w:r w:rsidR="00AD41EA" w:rsidRPr="00D203BC">
              <w:rPr>
                <w:rFonts w:ascii="Georgia" w:hAnsi="Georgia"/>
                <w:b/>
                <w:szCs w:val="20"/>
              </w:rPr>
              <w:t xml:space="preserve">may </w:t>
            </w:r>
            <w:r w:rsidRPr="00D203BC">
              <w:rPr>
                <w:rFonts w:ascii="Georgia" w:hAnsi="Georgia"/>
                <w:b/>
                <w:szCs w:val="20"/>
              </w:rPr>
              <w:t xml:space="preserve">include Steering Committee and </w:t>
            </w:r>
            <w:r w:rsidR="00AD41EA" w:rsidRPr="00D203BC">
              <w:rPr>
                <w:rFonts w:ascii="Georgia" w:hAnsi="Georgia"/>
                <w:b/>
                <w:szCs w:val="20"/>
              </w:rPr>
              <w:t xml:space="preserve">other </w:t>
            </w:r>
            <w:r w:rsidRPr="00D203BC">
              <w:rPr>
                <w:rFonts w:ascii="Georgia" w:hAnsi="Georgia"/>
                <w:b/>
                <w:szCs w:val="20"/>
              </w:rPr>
              <w:t>relevant officials of State Bank of Pakistan (SBP) and Karandaaz Pakistan. While external stakeholders may include other regulators, Ministries, C</w:t>
            </w:r>
            <w:r w:rsidR="00015FAE" w:rsidRPr="00D203BC">
              <w:rPr>
                <w:rFonts w:ascii="Georgia" w:hAnsi="Georgia"/>
                <w:b/>
                <w:szCs w:val="20"/>
              </w:rPr>
              <w:t>ommercial Banks, Microfinance Banks, Digital Financial Service Providers, PSO/PSPs and Fintechs etc.</w:t>
            </w:r>
            <w:r w:rsidR="00B06D38" w:rsidRPr="00D203BC">
              <w:rPr>
                <w:rFonts w:ascii="Georgia" w:hAnsi="Georgia"/>
                <w:b/>
                <w:szCs w:val="20"/>
              </w:rPr>
              <w:t xml:space="preserve"> and may also include industry focused groups.</w:t>
            </w:r>
          </w:p>
          <w:p w:rsidR="00B06D38" w:rsidRPr="00D203BC" w:rsidRDefault="00B06D38" w:rsidP="00416E55">
            <w:pPr>
              <w:spacing w:before="120" w:after="120"/>
              <w:jc w:val="both"/>
              <w:rPr>
                <w:rFonts w:ascii="Georgia" w:hAnsi="Georgia"/>
                <w:b/>
                <w:szCs w:val="20"/>
              </w:rPr>
            </w:pPr>
          </w:p>
          <w:p w:rsidR="00B06D38" w:rsidRPr="00D203BC" w:rsidRDefault="00B06D38" w:rsidP="00416E55">
            <w:pPr>
              <w:spacing w:before="120" w:after="120"/>
              <w:jc w:val="both"/>
              <w:rPr>
                <w:rFonts w:ascii="Georgia" w:hAnsi="Georgia"/>
                <w:b/>
                <w:szCs w:val="20"/>
              </w:rPr>
            </w:pPr>
            <w:r w:rsidRPr="00D203BC">
              <w:rPr>
                <w:rFonts w:ascii="Georgia" w:hAnsi="Georgia"/>
                <w:b/>
                <w:szCs w:val="20"/>
              </w:rPr>
              <w:t>If deemed necessary, consultant may propose any relevant stakeholders deemed necessary</w:t>
            </w:r>
            <w:r w:rsidR="00557F51" w:rsidRPr="00D203BC">
              <w:rPr>
                <w:rFonts w:ascii="Georgia" w:hAnsi="Georgia"/>
                <w:b/>
                <w:szCs w:val="20"/>
              </w:rPr>
              <w:t xml:space="preserve"> to reach out</w:t>
            </w:r>
            <w:r w:rsidRPr="00D203BC">
              <w:rPr>
                <w:rFonts w:ascii="Georgia" w:hAnsi="Georgia"/>
                <w:b/>
                <w:szCs w:val="20"/>
              </w:rPr>
              <w:t xml:space="preserve"> for this assignment. </w:t>
            </w:r>
          </w:p>
          <w:p w:rsidR="00B06D38" w:rsidRPr="00D203BC" w:rsidRDefault="00B06D38" w:rsidP="00416E55">
            <w:pPr>
              <w:spacing w:before="120" w:after="120"/>
              <w:jc w:val="both"/>
              <w:rPr>
                <w:rFonts w:ascii="Georgia" w:hAnsi="Georgia"/>
                <w:b/>
                <w:szCs w:val="20"/>
              </w:rPr>
            </w:pPr>
          </w:p>
          <w:p w:rsidR="008F1CE8" w:rsidRPr="00D203BC" w:rsidRDefault="007E59E4" w:rsidP="007E59E4">
            <w:pPr>
              <w:spacing w:before="120" w:after="120"/>
              <w:jc w:val="both"/>
              <w:rPr>
                <w:rFonts w:ascii="Georgia" w:hAnsi="Georgia"/>
                <w:b/>
                <w:szCs w:val="20"/>
              </w:rPr>
            </w:pPr>
            <w:r w:rsidRPr="00D203BC">
              <w:rPr>
                <w:rFonts w:ascii="Georgia" w:hAnsi="Georgia"/>
                <w:b/>
                <w:szCs w:val="20"/>
              </w:rPr>
              <w:t xml:space="preserve">Please refer to section 11.7.a and ToRs section on Deliverable 2.1 “inception report”. We are expecting that as part of the approach and methodology, the consultant will be proposing the stakeholders and preferred methodology </w:t>
            </w:r>
            <w:r w:rsidRPr="00D203BC">
              <w:rPr>
                <w:rFonts w:ascii="Georgia" w:hAnsi="Georgia"/>
                <w:b/>
                <w:szCs w:val="20"/>
              </w:rPr>
              <w:lastRenderedPageBreak/>
              <w:t xml:space="preserve">(workshop, meeting, surveys etc.) of consultation activity. </w:t>
            </w:r>
          </w:p>
          <w:p w:rsidR="007E59E4" w:rsidRPr="00D203BC" w:rsidRDefault="007E59E4" w:rsidP="007E59E4">
            <w:pPr>
              <w:spacing w:before="120" w:after="120"/>
              <w:jc w:val="both"/>
              <w:rPr>
                <w:rFonts w:ascii="Georgia" w:hAnsi="Georgia"/>
                <w:b/>
                <w:szCs w:val="20"/>
              </w:rPr>
            </w:pPr>
            <w:r w:rsidRPr="00D203BC">
              <w:rPr>
                <w:rFonts w:ascii="Georgia" w:hAnsi="Georgia"/>
                <w:b/>
                <w:szCs w:val="20"/>
              </w:rPr>
              <w:t xml:space="preserve">Meetings with internal stakeholders at SBP and KRN as well as industry consultations with other regulators, Commercial Banks, Microfinance Banks, Digital Financial Service Providers, PSO/PSPs and Fintechs etc. should be included. </w:t>
            </w:r>
          </w:p>
          <w:p w:rsidR="00B06D38" w:rsidRPr="00D203BC" w:rsidRDefault="007E59E4" w:rsidP="007E59E4">
            <w:pPr>
              <w:spacing w:before="120" w:after="120"/>
              <w:jc w:val="both"/>
              <w:rPr>
                <w:rFonts w:ascii="Georgia" w:hAnsi="Georgia"/>
                <w:b/>
                <w:szCs w:val="20"/>
              </w:rPr>
            </w:pPr>
            <w:r w:rsidRPr="00D203BC">
              <w:rPr>
                <w:rFonts w:ascii="Georgia" w:hAnsi="Georgia"/>
                <w:b/>
                <w:szCs w:val="20"/>
                <w:shd w:val="clear" w:color="auto" w:fill="FFFFFF" w:themeFill="background1"/>
              </w:rPr>
              <w:t>Consultant may also request a</w:t>
            </w:r>
            <w:r w:rsidR="00B06D38" w:rsidRPr="00D203BC">
              <w:rPr>
                <w:rFonts w:ascii="Georgia" w:hAnsi="Georgia"/>
                <w:b/>
                <w:szCs w:val="20"/>
                <w:shd w:val="clear" w:color="auto" w:fill="FFFFFF" w:themeFill="background1"/>
              </w:rPr>
              <w:t xml:space="preserve">ny </w:t>
            </w:r>
            <w:r w:rsidRPr="00D203BC">
              <w:rPr>
                <w:rFonts w:ascii="Georgia" w:hAnsi="Georgia"/>
                <w:b/>
                <w:szCs w:val="20"/>
                <w:shd w:val="clear" w:color="auto" w:fill="FFFFFF" w:themeFill="background1"/>
              </w:rPr>
              <w:t>additional requirement / facilitation as per</w:t>
            </w:r>
            <w:r w:rsidR="00B06D38" w:rsidRPr="00D203BC">
              <w:rPr>
                <w:rFonts w:ascii="Georgia" w:hAnsi="Georgia"/>
                <w:b/>
                <w:szCs w:val="20"/>
                <w:shd w:val="clear" w:color="auto" w:fill="FFFFFF" w:themeFill="background1"/>
              </w:rPr>
              <w:t xml:space="preserve"> “Section 2, Instructions to Firms, (C) Preparation and Submission of Proposals, 7 (f)” of RFP.</w:t>
            </w:r>
          </w:p>
        </w:tc>
      </w:tr>
      <w:tr w:rsidR="005C36F8" w:rsidTr="000B00D1">
        <w:trPr>
          <w:trHeight w:val="1268"/>
        </w:trPr>
        <w:tc>
          <w:tcPr>
            <w:tcW w:w="804" w:type="dxa"/>
            <w:vMerge/>
          </w:tcPr>
          <w:p w:rsidR="005C36F8" w:rsidRDefault="005C36F8" w:rsidP="00427200">
            <w:pPr>
              <w:spacing w:before="120" w:after="120"/>
              <w:jc w:val="center"/>
              <w:rPr>
                <w:rFonts w:ascii="Georgia" w:hAnsi="Georgia"/>
                <w:sz w:val="20"/>
                <w:szCs w:val="20"/>
              </w:rPr>
            </w:pPr>
          </w:p>
        </w:tc>
        <w:tc>
          <w:tcPr>
            <w:tcW w:w="1975" w:type="dxa"/>
            <w:vMerge/>
          </w:tcPr>
          <w:p w:rsidR="005C36F8" w:rsidRDefault="005C36F8" w:rsidP="00427200">
            <w:pPr>
              <w:spacing w:before="120" w:after="120"/>
              <w:rPr>
                <w:rFonts w:ascii="Georgia" w:hAnsi="Georgia"/>
                <w:sz w:val="20"/>
                <w:szCs w:val="20"/>
              </w:rPr>
            </w:pPr>
          </w:p>
        </w:tc>
        <w:tc>
          <w:tcPr>
            <w:tcW w:w="3169" w:type="dxa"/>
          </w:tcPr>
          <w:p w:rsidR="005C36F8" w:rsidRPr="00D722BC" w:rsidRDefault="005C36F8" w:rsidP="00427200">
            <w:pPr>
              <w:spacing w:before="120" w:after="120"/>
              <w:rPr>
                <w:rFonts w:ascii="Georgia" w:hAnsi="Georgia"/>
                <w:sz w:val="20"/>
                <w:szCs w:val="20"/>
              </w:rPr>
            </w:pPr>
            <w:r w:rsidRPr="000440C1">
              <w:rPr>
                <w:rFonts w:ascii="Georgia" w:hAnsi="Georgia"/>
                <w:sz w:val="20"/>
                <w:szCs w:val="20"/>
              </w:rPr>
              <w:t>Consultant will also carry out an extensive industry consultation on expectations regarding the definition, scope of activities, ownership structure and capital requirements</w:t>
            </w:r>
          </w:p>
        </w:tc>
        <w:tc>
          <w:tcPr>
            <w:tcW w:w="3402" w:type="dxa"/>
            <w:vMerge/>
            <w:shd w:val="clear" w:color="auto" w:fill="auto"/>
          </w:tcPr>
          <w:p w:rsidR="005C36F8" w:rsidRDefault="005C36F8" w:rsidP="00427200">
            <w:pPr>
              <w:spacing w:before="120" w:after="120"/>
              <w:rPr>
                <w:rFonts w:ascii="Georgia" w:hAnsi="Georgia"/>
                <w:sz w:val="20"/>
                <w:szCs w:val="20"/>
              </w:rPr>
            </w:pPr>
          </w:p>
        </w:tc>
        <w:tc>
          <w:tcPr>
            <w:tcW w:w="3402" w:type="dxa"/>
            <w:vMerge/>
          </w:tcPr>
          <w:p w:rsidR="005C36F8" w:rsidRPr="00D203BC" w:rsidRDefault="005C36F8" w:rsidP="00427200">
            <w:pPr>
              <w:spacing w:before="120" w:after="120"/>
              <w:rPr>
                <w:rFonts w:ascii="Georgia" w:hAnsi="Georgia"/>
                <w:b/>
                <w:szCs w:val="20"/>
              </w:rPr>
            </w:pPr>
          </w:p>
        </w:tc>
      </w:tr>
      <w:tr w:rsidR="005C36F8" w:rsidTr="000B00D1">
        <w:trPr>
          <w:trHeight w:val="1907"/>
        </w:trPr>
        <w:tc>
          <w:tcPr>
            <w:tcW w:w="804" w:type="dxa"/>
            <w:vMerge/>
          </w:tcPr>
          <w:p w:rsidR="005C36F8" w:rsidRDefault="005C36F8" w:rsidP="00427200">
            <w:pPr>
              <w:spacing w:before="120" w:after="120"/>
              <w:jc w:val="center"/>
              <w:rPr>
                <w:rFonts w:ascii="Georgia" w:hAnsi="Georgia"/>
                <w:sz w:val="20"/>
                <w:szCs w:val="20"/>
              </w:rPr>
            </w:pPr>
          </w:p>
        </w:tc>
        <w:tc>
          <w:tcPr>
            <w:tcW w:w="1975" w:type="dxa"/>
            <w:vMerge/>
          </w:tcPr>
          <w:p w:rsidR="005C36F8" w:rsidRDefault="005C36F8" w:rsidP="00427200">
            <w:pPr>
              <w:spacing w:before="120" w:after="120"/>
              <w:rPr>
                <w:rFonts w:ascii="Georgia" w:hAnsi="Georgia"/>
                <w:sz w:val="20"/>
                <w:szCs w:val="20"/>
              </w:rPr>
            </w:pPr>
          </w:p>
        </w:tc>
        <w:tc>
          <w:tcPr>
            <w:tcW w:w="3169" w:type="dxa"/>
          </w:tcPr>
          <w:p w:rsidR="005C36F8" w:rsidRPr="000440C1" w:rsidRDefault="005C36F8" w:rsidP="00427200">
            <w:pPr>
              <w:spacing w:before="120" w:after="120"/>
              <w:rPr>
                <w:rFonts w:ascii="Georgia" w:hAnsi="Georgia"/>
                <w:sz w:val="20"/>
                <w:szCs w:val="20"/>
              </w:rPr>
            </w:pPr>
            <w:r w:rsidRPr="0023738A">
              <w:rPr>
                <w:rFonts w:ascii="Georgia" w:hAnsi="Georgia"/>
                <w:sz w:val="20"/>
                <w:szCs w:val="20"/>
              </w:rPr>
              <w:t>Based on the comparative analysis and stakeholder consultations, the Consultant will recommend and develop consensus among Steering Committee members and SBP Management around definition of Digital Banks, building blocks including products and services, and proposed model of regulatory framework.</w:t>
            </w:r>
          </w:p>
        </w:tc>
        <w:tc>
          <w:tcPr>
            <w:tcW w:w="3402" w:type="dxa"/>
            <w:vMerge/>
            <w:shd w:val="clear" w:color="auto" w:fill="auto"/>
          </w:tcPr>
          <w:p w:rsidR="005C36F8" w:rsidRDefault="005C36F8" w:rsidP="00427200">
            <w:pPr>
              <w:spacing w:before="120" w:after="120"/>
              <w:rPr>
                <w:rFonts w:ascii="Georgia" w:hAnsi="Georgia"/>
                <w:sz w:val="20"/>
                <w:szCs w:val="20"/>
              </w:rPr>
            </w:pPr>
          </w:p>
        </w:tc>
        <w:tc>
          <w:tcPr>
            <w:tcW w:w="3402" w:type="dxa"/>
            <w:vMerge/>
          </w:tcPr>
          <w:p w:rsidR="005C36F8" w:rsidRPr="00D203BC" w:rsidRDefault="005C36F8" w:rsidP="00427200">
            <w:pPr>
              <w:spacing w:before="120" w:after="120"/>
              <w:rPr>
                <w:rFonts w:ascii="Georgia" w:hAnsi="Georgia"/>
                <w:b/>
                <w:szCs w:val="20"/>
              </w:rPr>
            </w:pPr>
          </w:p>
        </w:tc>
      </w:tr>
      <w:tr w:rsidR="00D15167" w:rsidTr="000B00D1">
        <w:trPr>
          <w:trHeight w:val="5320"/>
        </w:trPr>
        <w:tc>
          <w:tcPr>
            <w:tcW w:w="804" w:type="dxa"/>
            <w:vMerge/>
          </w:tcPr>
          <w:p w:rsidR="00D15167" w:rsidRDefault="00D15167" w:rsidP="00427200">
            <w:pPr>
              <w:spacing w:before="120" w:after="120"/>
              <w:jc w:val="center"/>
              <w:rPr>
                <w:rFonts w:ascii="Georgia" w:hAnsi="Georgia"/>
                <w:sz w:val="20"/>
                <w:szCs w:val="20"/>
              </w:rPr>
            </w:pPr>
          </w:p>
        </w:tc>
        <w:tc>
          <w:tcPr>
            <w:tcW w:w="1975" w:type="dxa"/>
            <w:vMerge/>
          </w:tcPr>
          <w:p w:rsidR="00D15167" w:rsidRDefault="00D15167" w:rsidP="00427200">
            <w:pPr>
              <w:spacing w:before="120" w:after="120"/>
              <w:rPr>
                <w:rFonts w:ascii="Georgia" w:hAnsi="Georgia"/>
                <w:sz w:val="20"/>
                <w:szCs w:val="20"/>
              </w:rPr>
            </w:pPr>
          </w:p>
        </w:tc>
        <w:tc>
          <w:tcPr>
            <w:tcW w:w="3169" w:type="dxa"/>
          </w:tcPr>
          <w:p w:rsidR="00D15167" w:rsidRPr="000440C1" w:rsidRDefault="00D15167" w:rsidP="00427200">
            <w:pPr>
              <w:spacing w:before="120" w:after="120"/>
              <w:rPr>
                <w:rFonts w:ascii="Georgia" w:hAnsi="Georgia"/>
                <w:sz w:val="20"/>
                <w:szCs w:val="20"/>
              </w:rPr>
            </w:pPr>
          </w:p>
        </w:tc>
        <w:tc>
          <w:tcPr>
            <w:tcW w:w="3402" w:type="dxa"/>
            <w:vMerge/>
            <w:shd w:val="clear" w:color="auto" w:fill="auto"/>
          </w:tcPr>
          <w:p w:rsidR="00D15167" w:rsidRDefault="00D15167" w:rsidP="00427200">
            <w:pPr>
              <w:spacing w:before="120" w:after="120"/>
              <w:rPr>
                <w:rFonts w:ascii="Georgia" w:hAnsi="Georgia"/>
                <w:sz w:val="20"/>
                <w:szCs w:val="20"/>
              </w:rPr>
            </w:pPr>
          </w:p>
        </w:tc>
        <w:tc>
          <w:tcPr>
            <w:tcW w:w="3402" w:type="dxa"/>
          </w:tcPr>
          <w:p w:rsidR="007E59E4" w:rsidRPr="00D203BC" w:rsidRDefault="007E59E4" w:rsidP="00427200">
            <w:pPr>
              <w:spacing w:before="120" w:after="120"/>
              <w:rPr>
                <w:rFonts w:ascii="Georgia" w:hAnsi="Georgia"/>
                <w:b/>
                <w:szCs w:val="20"/>
              </w:rPr>
            </w:pPr>
          </w:p>
          <w:p w:rsidR="00AD41EA" w:rsidRPr="00D203BC" w:rsidRDefault="00B06D38" w:rsidP="00427200">
            <w:pPr>
              <w:spacing w:before="120" w:after="120"/>
              <w:rPr>
                <w:rFonts w:ascii="Georgia" w:hAnsi="Georgia"/>
                <w:b/>
                <w:szCs w:val="20"/>
              </w:rPr>
            </w:pPr>
            <w:r w:rsidRPr="00D203BC">
              <w:rPr>
                <w:rFonts w:ascii="Georgia" w:hAnsi="Georgia"/>
                <w:b/>
                <w:szCs w:val="20"/>
              </w:rPr>
              <w:t>Steering Committee will have high-level representation of SBP officials and KRN nominees.</w:t>
            </w:r>
            <w:r w:rsidR="00AD41EA" w:rsidRPr="00D203BC">
              <w:rPr>
                <w:rFonts w:ascii="Georgia" w:hAnsi="Georgia"/>
                <w:b/>
                <w:szCs w:val="20"/>
              </w:rPr>
              <w:t xml:space="preserve"> Internal stakeholders may include other officials of both organizations.</w:t>
            </w:r>
            <w:r w:rsidR="007E59E4" w:rsidRPr="00D203BC">
              <w:rPr>
                <w:rFonts w:ascii="Georgia" w:hAnsi="Georgia"/>
                <w:b/>
                <w:szCs w:val="20"/>
              </w:rPr>
              <w:t xml:space="preserve"> </w:t>
            </w:r>
            <w:r w:rsidR="00AD41EA" w:rsidRPr="00D203BC">
              <w:rPr>
                <w:rFonts w:ascii="Georgia" w:hAnsi="Georgia"/>
                <w:b/>
                <w:szCs w:val="20"/>
              </w:rPr>
              <w:t xml:space="preserve">SBP and KRN </w:t>
            </w:r>
            <w:r w:rsidR="007E59E4" w:rsidRPr="00D203BC">
              <w:rPr>
                <w:rFonts w:ascii="Georgia" w:hAnsi="Georgia"/>
                <w:b/>
                <w:szCs w:val="20"/>
              </w:rPr>
              <w:t>may</w:t>
            </w:r>
            <w:r w:rsidR="00AD41EA" w:rsidRPr="00D203BC">
              <w:rPr>
                <w:rFonts w:ascii="Georgia" w:hAnsi="Georgia"/>
                <w:b/>
                <w:szCs w:val="20"/>
              </w:rPr>
              <w:t xml:space="preserve"> facilitate such arrangements. </w:t>
            </w:r>
          </w:p>
          <w:p w:rsidR="00B06D38" w:rsidRPr="00D203BC" w:rsidRDefault="00B06D38" w:rsidP="00427200">
            <w:pPr>
              <w:spacing w:before="120" w:after="120"/>
              <w:rPr>
                <w:rFonts w:ascii="Georgia" w:hAnsi="Georgia"/>
                <w:b/>
                <w:szCs w:val="20"/>
              </w:rPr>
            </w:pPr>
          </w:p>
          <w:p w:rsidR="00B06D38" w:rsidRPr="00D203BC" w:rsidRDefault="00B06D38" w:rsidP="00427200">
            <w:pPr>
              <w:spacing w:before="120" w:after="120"/>
              <w:rPr>
                <w:rFonts w:ascii="Georgia" w:hAnsi="Georgia"/>
                <w:b/>
                <w:szCs w:val="20"/>
              </w:rPr>
            </w:pPr>
          </w:p>
        </w:tc>
      </w:tr>
      <w:tr w:rsidR="00D15167" w:rsidTr="000B00D1">
        <w:tc>
          <w:tcPr>
            <w:tcW w:w="804" w:type="dxa"/>
          </w:tcPr>
          <w:p w:rsidR="00D15167" w:rsidRDefault="00D15167" w:rsidP="00427200">
            <w:pPr>
              <w:spacing w:before="120" w:after="120"/>
              <w:jc w:val="center"/>
              <w:rPr>
                <w:rFonts w:ascii="Georgia" w:hAnsi="Georgia"/>
                <w:sz w:val="20"/>
                <w:szCs w:val="20"/>
              </w:rPr>
            </w:pPr>
            <w:r>
              <w:rPr>
                <w:rFonts w:ascii="Georgia" w:hAnsi="Georgia"/>
                <w:sz w:val="20"/>
                <w:szCs w:val="20"/>
              </w:rPr>
              <w:lastRenderedPageBreak/>
              <w:t>6</w:t>
            </w:r>
          </w:p>
        </w:tc>
        <w:tc>
          <w:tcPr>
            <w:tcW w:w="1975" w:type="dxa"/>
          </w:tcPr>
          <w:p w:rsidR="00D15167" w:rsidRDefault="00D15167" w:rsidP="00427200">
            <w:pPr>
              <w:spacing w:before="120" w:after="120"/>
              <w:rPr>
                <w:rFonts w:ascii="Georgia" w:hAnsi="Georgia"/>
                <w:sz w:val="20"/>
                <w:szCs w:val="20"/>
              </w:rPr>
            </w:pPr>
            <w:r>
              <w:rPr>
                <w:rFonts w:ascii="Georgia" w:hAnsi="Georgia"/>
                <w:sz w:val="20"/>
                <w:szCs w:val="20"/>
              </w:rPr>
              <w:t>Section 4, Terms of Reference, Deliverables</w:t>
            </w:r>
          </w:p>
        </w:tc>
        <w:tc>
          <w:tcPr>
            <w:tcW w:w="3169" w:type="dxa"/>
          </w:tcPr>
          <w:p w:rsidR="00D15167" w:rsidRPr="00176977" w:rsidRDefault="00D15167" w:rsidP="00427200">
            <w:pPr>
              <w:spacing w:before="120" w:after="120"/>
              <w:rPr>
                <w:rFonts w:ascii="Georgia" w:hAnsi="Georgia"/>
                <w:sz w:val="20"/>
                <w:szCs w:val="20"/>
              </w:rPr>
            </w:pPr>
            <w:r w:rsidRPr="00427200">
              <w:rPr>
                <w:rFonts w:ascii="Georgia" w:hAnsi="Georgia"/>
                <w:sz w:val="20"/>
                <w:szCs w:val="20"/>
              </w:rPr>
              <w:t>Work of the Consultant(s) will be milestone based and subject to the satisfaction of the Steering Committee, comprising of high level officials of SBP and Karandaaz Pakistan</w:t>
            </w:r>
          </w:p>
        </w:tc>
        <w:tc>
          <w:tcPr>
            <w:tcW w:w="3402" w:type="dxa"/>
            <w:vMerge/>
            <w:shd w:val="clear" w:color="auto" w:fill="auto"/>
          </w:tcPr>
          <w:p w:rsidR="00D15167" w:rsidRDefault="00D15167" w:rsidP="00427200">
            <w:pPr>
              <w:spacing w:before="120" w:after="120"/>
              <w:rPr>
                <w:rFonts w:ascii="Georgia" w:hAnsi="Georgia"/>
                <w:sz w:val="20"/>
                <w:szCs w:val="20"/>
              </w:rPr>
            </w:pPr>
          </w:p>
        </w:tc>
        <w:tc>
          <w:tcPr>
            <w:tcW w:w="3402" w:type="dxa"/>
          </w:tcPr>
          <w:p w:rsidR="00D15167" w:rsidRPr="00D203BC" w:rsidRDefault="00D15167" w:rsidP="00427200">
            <w:pPr>
              <w:spacing w:before="120" w:after="120"/>
              <w:rPr>
                <w:rFonts w:ascii="Georgia" w:hAnsi="Georgia"/>
                <w:b/>
                <w:szCs w:val="20"/>
              </w:rPr>
            </w:pPr>
          </w:p>
        </w:tc>
      </w:tr>
      <w:tr w:rsidR="00D15167" w:rsidTr="000B00D1">
        <w:tc>
          <w:tcPr>
            <w:tcW w:w="804" w:type="dxa"/>
          </w:tcPr>
          <w:p w:rsidR="00D15167" w:rsidRDefault="00D15167" w:rsidP="00427200">
            <w:pPr>
              <w:spacing w:before="120" w:after="120"/>
              <w:jc w:val="center"/>
              <w:rPr>
                <w:rFonts w:ascii="Georgia" w:hAnsi="Georgia"/>
                <w:sz w:val="20"/>
                <w:szCs w:val="20"/>
              </w:rPr>
            </w:pPr>
            <w:r>
              <w:rPr>
                <w:rFonts w:ascii="Georgia" w:hAnsi="Georgia"/>
                <w:sz w:val="20"/>
                <w:szCs w:val="20"/>
              </w:rPr>
              <w:t>7</w:t>
            </w:r>
          </w:p>
        </w:tc>
        <w:tc>
          <w:tcPr>
            <w:tcW w:w="1975" w:type="dxa"/>
          </w:tcPr>
          <w:p w:rsidR="00D15167" w:rsidRDefault="00D15167" w:rsidP="00427200">
            <w:pPr>
              <w:spacing w:before="120" w:after="120"/>
              <w:rPr>
                <w:rFonts w:ascii="Georgia" w:hAnsi="Georgia"/>
                <w:sz w:val="20"/>
                <w:szCs w:val="20"/>
              </w:rPr>
            </w:pPr>
            <w:r>
              <w:rPr>
                <w:rFonts w:ascii="Georgia" w:hAnsi="Georgia"/>
                <w:sz w:val="20"/>
                <w:szCs w:val="20"/>
              </w:rPr>
              <w:t xml:space="preserve">Section 4, Terms of Reference, Scope of Work, Activity – I: Comparative Analysis, Industry </w:t>
            </w:r>
            <w:r>
              <w:rPr>
                <w:rFonts w:ascii="Georgia" w:hAnsi="Georgia"/>
                <w:sz w:val="20"/>
                <w:szCs w:val="20"/>
              </w:rPr>
              <w:lastRenderedPageBreak/>
              <w:t>Consultation and Consensus Building</w:t>
            </w:r>
          </w:p>
        </w:tc>
        <w:tc>
          <w:tcPr>
            <w:tcW w:w="3169" w:type="dxa"/>
          </w:tcPr>
          <w:p w:rsidR="00D15167" w:rsidRPr="00B24EB5" w:rsidRDefault="00D15167" w:rsidP="00427200">
            <w:pPr>
              <w:spacing w:before="120" w:after="120"/>
              <w:rPr>
                <w:rFonts w:ascii="Georgia" w:hAnsi="Georgia"/>
                <w:sz w:val="20"/>
                <w:szCs w:val="20"/>
              </w:rPr>
            </w:pPr>
            <w:r w:rsidRPr="00176977">
              <w:rPr>
                <w:rFonts w:ascii="Georgia" w:hAnsi="Georgia"/>
                <w:sz w:val="20"/>
                <w:szCs w:val="20"/>
              </w:rPr>
              <w:lastRenderedPageBreak/>
              <w:t xml:space="preserve">Consultant will also focus on the need to establish Digital-only Bank regime in Pakistan especially when the existing bank are also authorized to enhance and serve market segment </w:t>
            </w:r>
            <w:r w:rsidRPr="00176977">
              <w:rPr>
                <w:rFonts w:ascii="Georgia" w:hAnsi="Georgia"/>
                <w:sz w:val="20"/>
                <w:szCs w:val="20"/>
              </w:rPr>
              <w:lastRenderedPageBreak/>
              <w:t>through Digital Financial Services</w:t>
            </w:r>
            <w:r>
              <w:rPr>
                <w:rFonts w:ascii="Georgia" w:hAnsi="Georgia"/>
                <w:sz w:val="20"/>
                <w:szCs w:val="20"/>
              </w:rPr>
              <w:t xml:space="preserve">. </w:t>
            </w:r>
          </w:p>
        </w:tc>
        <w:tc>
          <w:tcPr>
            <w:tcW w:w="3402" w:type="dxa"/>
          </w:tcPr>
          <w:p w:rsidR="00D15167" w:rsidRDefault="00D15167" w:rsidP="00C4284B">
            <w:pPr>
              <w:spacing w:before="120" w:after="120"/>
              <w:rPr>
                <w:rFonts w:ascii="Georgia" w:hAnsi="Georgia"/>
                <w:sz w:val="20"/>
                <w:szCs w:val="20"/>
              </w:rPr>
            </w:pPr>
            <w:r>
              <w:rPr>
                <w:rFonts w:ascii="Georgia" w:hAnsi="Georgia"/>
                <w:sz w:val="20"/>
                <w:szCs w:val="20"/>
              </w:rPr>
              <w:lastRenderedPageBreak/>
              <w:t>The span of Digital Banking may be quite wider and may include other entities/ functions, particularly the following:</w:t>
            </w:r>
          </w:p>
          <w:p w:rsidR="00D15167" w:rsidRPr="00872B8C" w:rsidRDefault="00D15167" w:rsidP="00C4284B">
            <w:pPr>
              <w:pStyle w:val="ListParagraph"/>
              <w:numPr>
                <w:ilvl w:val="0"/>
                <w:numId w:val="3"/>
              </w:numPr>
              <w:ind w:left="526"/>
              <w:rPr>
                <w:rFonts w:ascii="Georgia" w:hAnsi="Georgia"/>
                <w:sz w:val="20"/>
                <w:szCs w:val="20"/>
              </w:rPr>
            </w:pPr>
            <w:r w:rsidRPr="00872B8C">
              <w:rPr>
                <w:rFonts w:ascii="Georgia" w:hAnsi="Georgia"/>
                <w:sz w:val="20"/>
                <w:szCs w:val="20"/>
              </w:rPr>
              <w:t xml:space="preserve">Digital light banks focusing on niche customer segments/ </w:t>
            </w:r>
            <w:r w:rsidRPr="00872B8C">
              <w:rPr>
                <w:rFonts w:ascii="Georgia" w:hAnsi="Georgia"/>
                <w:sz w:val="20"/>
                <w:szCs w:val="20"/>
              </w:rPr>
              <w:lastRenderedPageBreak/>
              <w:t>economic sectors/ products</w:t>
            </w:r>
            <w:r>
              <w:rPr>
                <w:rFonts w:ascii="Georgia" w:hAnsi="Georgia"/>
                <w:sz w:val="20"/>
                <w:szCs w:val="20"/>
              </w:rPr>
              <w:t xml:space="preserve"> (e.g. AI enabled digital lending etc.)</w:t>
            </w:r>
          </w:p>
          <w:p w:rsidR="00D15167" w:rsidRPr="00872B8C" w:rsidRDefault="00D15167" w:rsidP="00C4284B">
            <w:pPr>
              <w:pStyle w:val="ListParagraph"/>
              <w:numPr>
                <w:ilvl w:val="0"/>
                <w:numId w:val="3"/>
              </w:numPr>
              <w:ind w:left="526"/>
              <w:rPr>
                <w:rFonts w:ascii="Georgia" w:hAnsi="Georgia"/>
                <w:sz w:val="20"/>
                <w:szCs w:val="20"/>
              </w:rPr>
            </w:pPr>
            <w:r w:rsidRPr="00872B8C">
              <w:rPr>
                <w:rFonts w:ascii="Georgia" w:hAnsi="Georgia"/>
                <w:sz w:val="20"/>
                <w:szCs w:val="20"/>
              </w:rPr>
              <w:t>Payment banks/ institutions</w:t>
            </w:r>
          </w:p>
          <w:p w:rsidR="00D15167" w:rsidRPr="00872B8C" w:rsidRDefault="00D15167" w:rsidP="00C4284B">
            <w:pPr>
              <w:pStyle w:val="ListParagraph"/>
              <w:numPr>
                <w:ilvl w:val="0"/>
                <w:numId w:val="3"/>
              </w:numPr>
              <w:ind w:left="526"/>
              <w:rPr>
                <w:rFonts w:ascii="Georgia" w:hAnsi="Georgia"/>
                <w:sz w:val="20"/>
                <w:szCs w:val="20"/>
              </w:rPr>
            </w:pPr>
            <w:r w:rsidRPr="00872B8C">
              <w:rPr>
                <w:rFonts w:ascii="Georgia" w:hAnsi="Georgia"/>
                <w:sz w:val="20"/>
                <w:szCs w:val="20"/>
              </w:rPr>
              <w:t>Micro digital banks/ institutions</w:t>
            </w:r>
          </w:p>
          <w:p w:rsidR="00D15167" w:rsidRDefault="00D15167" w:rsidP="00C4284B">
            <w:pPr>
              <w:pStyle w:val="ListParagraph"/>
              <w:numPr>
                <w:ilvl w:val="0"/>
                <w:numId w:val="3"/>
              </w:numPr>
              <w:ind w:left="526"/>
              <w:rPr>
                <w:rFonts w:ascii="Georgia" w:hAnsi="Georgia"/>
                <w:sz w:val="20"/>
                <w:szCs w:val="20"/>
              </w:rPr>
            </w:pPr>
            <w:r w:rsidRPr="00872B8C">
              <w:rPr>
                <w:rFonts w:ascii="Georgia" w:hAnsi="Georgia"/>
                <w:sz w:val="20"/>
                <w:szCs w:val="20"/>
              </w:rPr>
              <w:t>Mobile only banks</w:t>
            </w:r>
          </w:p>
          <w:p w:rsidR="00D15167" w:rsidRDefault="00D15167" w:rsidP="00C4284B">
            <w:pPr>
              <w:pStyle w:val="ListParagraph"/>
              <w:numPr>
                <w:ilvl w:val="0"/>
                <w:numId w:val="3"/>
              </w:numPr>
              <w:ind w:left="526"/>
              <w:rPr>
                <w:rFonts w:ascii="Georgia" w:hAnsi="Georgia"/>
                <w:sz w:val="20"/>
                <w:szCs w:val="20"/>
              </w:rPr>
            </w:pPr>
            <w:r>
              <w:rPr>
                <w:rFonts w:ascii="Georgia" w:hAnsi="Georgia"/>
                <w:sz w:val="20"/>
                <w:szCs w:val="20"/>
              </w:rPr>
              <w:t>Digital brand/ function of a commercial bank</w:t>
            </w:r>
          </w:p>
          <w:p w:rsidR="00D15167" w:rsidRDefault="00D15167" w:rsidP="00C4284B">
            <w:pPr>
              <w:pStyle w:val="ListParagraph"/>
              <w:numPr>
                <w:ilvl w:val="0"/>
                <w:numId w:val="3"/>
              </w:numPr>
              <w:ind w:left="526"/>
              <w:rPr>
                <w:rFonts w:ascii="Georgia" w:hAnsi="Georgia"/>
                <w:sz w:val="20"/>
                <w:szCs w:val="20"/>
              </w:rPr>
            </w:pPr>
            <w:r w:rsidRPr="00FC2542">
              <w:rPr>
                <w:rFonts w:ascii="Georgia" w:hAnsi="Georgia"/>
                <w:sz w:val="20"/>
                <w:szCs w:val="20"/>
              </w:rPr>
              <w:t xml:space="preserve">Digital subsidiary of a commercial bank </w:t>
            </w:r>
          </w:p>
          <w:p w:rsidR="00D15167" w:rsidRDefault="00D15167" w:rsidP="00427200">
            <w:pPr>
              <w:spacing w:before="120" w:after="120"/>
              <w:rPr>
                <w:rFonts w:ascii="Georgia" w:hAnsi="Georgia"/>
                <w:sz w:val="20"/>
                <w:szCs w:val="20"/>
              </w:rPr>
            </w:pPr>
            <w:r>
              <w:rPr>
                <w:rFonts w:ascii="Georgia" w:hAnsi="Georgia"/>
                <w:sz w:val="20"/>
                <w:szCs w:val="20"/>
              </w:rPr>
              <w:t>Additionally, clarification is requested on whether the scope of this RFP is restricted to the development of a regulatory framework that governs digital banks only, or also address the banks’ relationships with third parties (together with their enablement) which may facilitate in setting up digital platforms, contribute in product/ service delivery or partner in wider eco-system collaborations, such as the following:</w:t>
            </w:r>
          </w:p>
          <w:p w:rsidR="00D15167" w:rsidRDefault="00D15167" w:rsidP="00427200">
            <w:pPr>
              <w:pStyle w:val="ListParagraph"/>
              <w:numPr>
                <w:ilvl w:val="0"/>
                <w:numId w:val="3"/>
              </w:numPr>
              <w:ind w:left="526"/>
              <w:rPr>
                <w:rFonts w:ascii="Georgia" w:hAnsi="Georgia"/>
                <w:sz w:val="20"/>
                <w:szCs w:val="20"/>
              </w:rPr>
            </w:pPr>
            <w:r>
              <w:rPr>
                <w:rFonts w:ascii="Georgia" w:hAnsi="Georgia"/>
                <w:sz w:val="20"/>
                <w:szCs w:val="20"/>
              </w:rPr>
              <w:t xml:space="preserve">FinTechs (technology provider, API developers, aggregators, other firms etc.) </w:t>
            </w:r>
          </w:p>
          <w:p w:rsidR="00D15167" w:rsidRDefault="00D15167" w:rsidP="00427200">
            <w:pPr>
              <w:pStyle w:val="ListParagraph"/>
              <w:numPr>
                <w:ilvl w:val="0"/>
                <w:numId w:val="3"/>
              </w:numPr>
              <w:ind w:left="526"/>
              <w:rPr>
                <w:rFonts w:ascii="Georgia" w:hAnsi="Georgia"/>
                <w:sz w:val="20"/>
                <w:szCs w:val="20"/>
              </w:rPr>
            </w:pPr>
            <w:r>
              <w:rPr>
                <w:rFonts w:ascii="Georgia" w:hAnsi="Georgia"/>
                <w:sz w:val="20"/>
                <w:szCs w:val="20"/>
              </w:rPr>
              <w:t>NADRA, credit bureaus, telcos, utilities and social media companies etc.</w:t>
            </w:r>
          </w:p>
          <w:p w:rsidR="00D15167" w:rsidRDefault="00D15167" w:rsidP="00427200">
            <w:pPr>
              <w:pStyle w:val="ListParagraph"/>
              <w:numPr>
                <w:ilvl w:val="0"/>
                <w:numId w:val="3"/>
              </w:numPr>
              <w:ind w:left="526"/>
              <w:rPr>
                <w:rFonts w:ascii="Georgia" w:hAnsi="Georgia"/>
                <w:sz w:val="20"/>
                <w:szCs w:val="20"/>
              </w:rPr>
            </w:pPr>
            <w:r>
              <w:rPr>
                <w:rFonts w:ascii="Georgia" w:hAnsi="Georgia"/>
                <w:sz w:val="20"/>
                <w:szCs w:val="20"/>
              </w:rPr>
              <w:t>On-line retailers</w:t>
            </w:r>
          </w:p>
          <w:p w:rsidR="00D15167" w:rsidRDefault="00D15167" w:rsidP="00427200">
            <w:pPr>
              <w:pStyle w:val="ListParagraph"/>
              <w:numPr>
                <w:ilvl w:val="0"/>
                <w:numId w:val="3"/>
              </w:numPr>
              <w:ind w:left="526"/>
              <w:rPr>
                <w:rFonts w:ascii="Georgia" w:hAnsi="Georgia"/>
                <w:sz w:val="20"/>
                <w:szCs w:val="20"/>
              </w:rPr>
            </w:pPr>
            <w:r>
              <w:rPr>
                <w:rFonts w:ascii="Georgia" w:hAnsi="Georgia"/>
                <w:sz w:val="20"/>
                <w:szCs w:val="20"/>
              </w:rPr>
              <w:t xml:space="preserve">Companies with e-commerce platforms </w:t>
            </w:r>
          </w:p>
          <w:p w:rsidR="00D15167" w:rsidRDefault="00D15167" w:rsidP="00427200">
            <w:pPr>
              <w:pStyle w:val="ListParagraph"/>
              <w:numPr>
                <w:ilvl w:val="0"/>
                <w:numId w:val="3"/>
              </w:numPr>
              <w:ind w:left="526"/>
              <w:rPr>
                <w:rFonts w:ascii="Georgia" w:hAnsi="Georgia"/>
                <w:sz w:val="20"/>
                <w:szCs w:val="20"/>
              </w:rPr>
            </w:pPr>
            <w:r>
              <w:rPr>
                <w:rFonts w:ascii="Georgia" w:hAnsi="Georgia"/>
                <w:sz w:val="20"/>
                <w:szCs w:val="20"/>
              </w:rPr>
              <w:t xml:space="preserve">Financial services organisations e.g. insurance, </w:t>
            </w:r>
            <w:r>
              <w:rPr>
                <w:rFonts w:ascii="Georgia" w:hAnsi="Georgia"/>
                <w:sz w:val="20"/>
                <w:szCs w:val="20"/>
              </w:rPr>
              <w:lastRenderedPageBreak/>
              <w:t>asset management and other companies</w:t>
            </w:r>
          </w:p>
          <w:p w:rsidR="00D15167" w:rsidRDefault="00D15167" w:rsidP="00C84C71">
            <w:pPr>
              <w:pStyle w:val="ListParagraph"/>
              <w:ind w:left="526"/>
              <w:rPr>
                <w:rFonts w:ascii="Georgia" w:hAnsi="Georgia"/>
                <w:sz w:val="20"/>
                <w:szCs w:val="20"/>
              </w:rPr>
            </w:pPr>
          </w:p>
          <w:p w:rsidR="00D15167" w:rsidRPr="00C84C71" w:rsidRDefault="00D15167" w:rsidP="00C84C71">
            <w:pPr>
              <w:rPr>
                <w:rFonts w:ascii="Georgia" w:hAnsi="Georgia"/>
                <w:sz w:val="20"/>
                <w:szCs w:val="20"/>
              </w:rPr>
            </w:pPr>
            <w:r>
              <w:rPr>
                <w:rFonts w:ascii="Georgia" w:hAnsi="Georgia"/>
                <w:sz w:val="20"/>
                <w:szCs w:val="20"/>
              </w:rPr>
              <w:t>Apart from the above, clarification is also requested on whether the scope of the project may entail any support in the build-up of an eco-system of digital/ FinTech/ crowdfunding entities,  or the possibility of scope enhancement in this regard.</w:t>
            </w:r>
          </w:p>
          <w:p w:rsidR="00D15167" w:rsidRDefault="00D15167" w:rsidP="00427200">
            <w:pPr>
              <w:pStyle w:val="ListParagraph"/>
              <w:ind w:left="526"/>
              <w:rPr>
                <w:rFonts w:ascii="Georgia" w:hAnsi="Georgia"/>
                <w:sz w:val="20"/>
                <w:szCs w:val="20"/>
              </w:rPr>
            </w:pPr>
          </w:p>
        </w:tc>
        <w:tc>
          <w:tcPr>
            <w:tcW w:w="3402" w:type="dxa"/>
          </w:tcPr>
          <w:p w:rsidR="00D15167" w:rsidRPr="00D203BC" w:rsidRDefault="00557F51" w:rsidP="00C4284B">
            <w:pPr>
              <w:spacing w:before="120" w:after="120"/>
              <w:rPr>
                <w:rFonts w:ascii="Georgia" w:hAnsi="Georgia"/>
                <w:b/>
                <w:szCs w:val="20"/>
              </w:rPr>
            </w:pPr>
            <w:r w:rsidRPr="00D203BC">
              <w:rPr>
                <w:rFonts w:ascii="Georgia" w:hAnsi="Georgia"/>
                <w:b/>
                <w:szCs w:val="20"/>
              </w:rPr>
              <w:lastRenderedPageBreak/>
              <w:t xml:space="preserve">This may come under comprehensive global scan of digital banks in other countries as part of the comparative analysis (Activity-I). Further, </w:t>
            </w:r>
            <w:r w:rsidRPr="00D203BC">
              <w:rPr>
                <w:rFonts w:ascii="Georgia" w:hAnsi="Georgia"/>
                <w:b/>
                <w:szCs w:val="20"/>
              </w:rPr>
              <w:lastRenderedPageBreak/>
              <w:t>consultant is expected to build on SBP’s concept note</w:t>
            </w:r>
            <w:r w:rsidR="006B4199" w:rsidRPr="00D203BC">
              <w:rPr>
                <w:rFonts w:ascii="Georgia" w:hAnsi="Georgia"/>
                <w:b/>
                <w:szCs w:val="20"/>
              </w:rPr>
              <w:t>, which may hint on the current approach, which is subject to change on the outcomes of comparative analysis of different jurisdictions</w:t>
            </w:r>
            <w:r w:rsidRPr="00D203BC">
              <w:rPr>
                <w:rFonts w:ascii="Georgia" w:hAnsi="Georgia"/>
                <w:b/>
                <w:szCs w:val="20"/>
              </w:rPr>
              <w:t xml:space="preserve">. </w:t>
            </w: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r w:rsidRPr="00D203BC">
              <w:rPr>
                <w:rFonts w:ascii="Georgia" w:hAnsi="Georgia"/>
                <w:b/>
                <w:szCs w:val="20"/>
              </w:rPr>
              <w:t>Regulatory Framework is expected to cover the full ecosystem, including arrangements with third parties.</w:t>
            </w: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p>
          <w:p w:rsidR="006B4199" w:rsidRPr="00D203BC" w:rsidRDefault="006B4199" w:rsidP="00C4284B">
            <w:pPr>
              <w:spacing w:before="120" w:after="120"/>
              <w:rPr>
                <w:rFonts w:ascii="Georgia" w:hAnsi="Georgia"/>
                <w:b/>
                <w:szCs w:val="20"/>
              </w:rPr>
            </w:pPr>
            <w:r w:rsidRPr="00D203BC">
              <w:rPr>
                <w:rFonts w:ascii="Georgia" w:hAnsi="Georgia"/>
                <w:b/>
                <w:szCs w:val="20"/>
              </w:rPr>
              <w:t xml:space="preserve">This is </w:t>
            </w:r>
            <w:r w:rsidR="00611B13" w:rsidRPr="00D203BC">
              <w:rPr>
                <w:rFonts w:ascii="Georgia" w:hAnsi="Georgia"/>
                <w:b/>
                <w:szCs w:val="20"/>
              </w:rPr>
              <w:t xml:space="preserve">currently </w:t>
            </w:r>
            <w:r w:rsidRPr="00D203BC">
              <w:rPr>
                <w:rFonts w:ascii="Georgia" w:hAnsi="Georgia"/>
                <w:b/>
                <w:szCs w:val="20"/>
              </w:rPr>
              <w:t xml:space="preserve">out of </w:t>
            </w:r>
            <w:r w:rsidR="00611B13" w:rsidRPr="00D203BC">
              <w:rPr>
                <w:rFonts w:ascii="Georgia" w:hAnsi="Georgia"/>
                <w:b/>
                <w:szCs w:val="20"/>
              </w:rPr>
              <w:t xml:space="preserve">the </w:t>
            </w:r>
            <w:r w:rsidRPr="00D203BC">
              <w:rPr>
                <w:rFonts w:ascii="Georgia" w:hAnsi="Georgia"/>
                <w:b/>
                <w:szCs w:val="20"/>
              </w:rPr>
              <w:t xml:space="preserve">scope </w:t>
            </w:r>
            <w:r w:rsidR="00611B13" w:rsidRPr="00D203BC">
              <w:rPr>
                <w:rFonts w:ascii="Georgia" w:hAnsi="Georgia"/>
                <w:b/>
                <w:szCs w:val="20"/>
              </w:rPr>
              <w:t>of this project</w:t>
            </w:r>
            <w:r w:rsidR="00ED14B6" w:rsidRPr="00D203BC">
              <w:rPr>
                <w:rFonts w:ascii="Georgia" w:hAnsi="Georgia"/>
                <w:b/>
                <w:szCs w:val="20"/>
              </w:rPr>
              <w:t>, however, indication of next steps will be useful</w:t>
            </w:r>
            <w:r w:rsidR="00762816" w:rsidRPr="00D203BC">
              <w:rPr>
                <w:rFonts w:ascii="Georgia" w:hAnsi="Georgia"/>
                <w:b/>
                <w:szCs w:val="20"/>
              </w:rPr>
              <w:t>.</w:t>
            </w:r>
          </w:p>
        </w:tc>
      </w:tr>
      <w:tr w:rsidR="00D15167" w:rsidTr="000B00D1">
        <w:tc>
          <w:tcPr>
            <w:tcW w:w="804" w:type="dxa"/>
          </w:tcPr>
          <w:p w:rsidR="00D15167" w:rsidRDefault="00D15167" w:rsidP="000217CE">
            <w:pPr>
              <w:spacing w:before="120" w:after="120"/>
              <w:jc w:val="center"/>
              <w:rPr>
                <w:rFonts w:ascii="Georgia" w:hAnsi="Georgia"/>
                <w:sz w:val="20"/>
                <w:szCs w:val="20"/>
              </w:rPr>
            </w:pPr>
            <w:r>
              <w:rPr>
                <w:rFonts w:ascii="Georgia" w:hAnsi="Georgia"/>
                <w:sz w:val="20"/>
                <w:szCs w:val="20"/>
              </w:rPr>
              <w:lastRenderedPageBreak/>
              <w:t>8</w:t>
            </w:r>
          </w:p>
        </w:tc>
        <w:tc>
          <w:tcPr>
            <w:tcW w:w="1975" w:type="dxa"/>
          </w:tcPr>
          <w:p w:rsidR="00D15167" w:rsidRDefault="00D15167" w:rsidP="000217CE">
            <w:pPr>
              <w:spacing w:before="120" w:after="120"/>
              <w:rPr>
                <w:rFonts w:ascii="Georgia" w:hAnsi="Georgia"/>
                <w:sz w:val="20"/>
                <w:szCs w:val="20"/>
              </w:rPr>
            </w:pPr>
            <w:r>
              <w:rPr>
                <w:rFonts w:ascii="Georgia" w:hAnsi="Georgia"/>
                <w:sz w:val="20"/>
                <w:szCs w:val="20"/>
              </w:rPr>
              <w:t>Section 4, Terms of Reference, Scope of Work, Activity – I: Comparative Analysis, Industry Consultation and Consensus Building</w:t>
            </w:r>
          </w:p>
        </w:tc>
        <w:tc>
          <w:tcPr>
            <w:tcW w:w="3169" w:type="dxa"/>
          </w:tcPr>
          <w:p w:rsidR="00D15167" w:rsidRPr="00176977" w:rsidRDefault="00D15167" w:rsidP="000217CE">
            <w:pPr>
              <w:spacing w:before="120" w:after="120"/>
              <w:rPr>
                <w:rFonts w:ascii="Georgia" w:hAnsi="Georgia"/>
                <w:sz w:val="20"/>
                <w:szCs w:val="20"/>
              </w:rPr>
            </w:pPr>
            <w:r w:rsidRPr="00BC3FAD">
              <w:rPr>
                <w:rFonts w:ascii="Georgia" w:hAnsi="Georgia"/>
                <w:sz w:val="20"/>
                <w:szCs w:val="20"/>
              </w:rPr>
              <w:t>Consultant will also carry out an extensive industry consultation on expectations regarding the definition, scope of activities, ownership structure and capital requirements.</w:t>
            </w:r>
          </w:p>
        </w:tc>
        <w:tc>
          <w:tcPr>
            <w:tcW w:w="3402" w:type="dxa"/>
          </w:tcPr>
          <w:p w:rsidR="00D15167" w:rsidRDefault="00D15167" w:rsidP="000217CE">
            <w:pPr>
              <w:spacing w:before="120" w:after="120"/>
              <w:rPr>
                <w:rFonts w:ascii="Georgia" w:hAnsi="Georgia"/>
                <w:sz w:val="20"/>
                <w:szCs w:val="20"/>
              </w:rPr>
            </w:pPr>
            <w:r>
              <w:rPr>
                <w:rFonts w:ascii="Georgia" w:hAnsi="Georgia"/>
                <w:sz w:val="20"/>
                <w:szCs w:val="20"/>
              </w:rPr>
              <w:t>Clarification is requested on how such consultations would take place. Would it be through discussions of a working group should one be formed, or through surveys.</w:t>
            </w:r>
          </w:p>
          <w:p w:rsidR="008F1CE8" w:rsidRDefault="008F1CE8" w:rsidP="000217CE">
            <w:pPr>
              <w:spacing w:before="120" w:after="120"/>
              <w:rPr>
                <w:rFonts w:ascii="Georgia" w:hAnsi="Georgia"/>
                <w:sz w:val="20"/>
                <w:szCs w:val="20"/>
              </w:rPr>
            </w:pPr>
          </w:p>
          <w:p w:rsidR="008F1CE8" w:rsidRDefault="008F1CE8" w:rsidP="000217CE">
            <w:pPr>
              <w:spacing w:before="120" w:after="120"/>
              <w:rPr>
                <w:rFonts w:ascii="Georgia" w:hAnsi="Georgia"/>
                <w:sz w:val="20"/>
                <w:szCs w:val="20"/>
              </w:rPr>
            </w:pPr>
          </w:p>
          <w:p w:rsidR="008F1CE8" w:rsidRDefault="008F1CE8" w:rsidP="000217CE">
            <w:pPr>
              <w:spacing w:before="120" w:after="120"/>
              <w:rPr>
                <w:rFonts w:ascii="Georgia" w:hAnsi="Georgia"/>
                <w:sz w:val="20"/>
                <w:szCs w:val="20"/>
              </w:rPr>
            </w:pPr>
          </w:p>
          <w:p w:rsidR="008F1CE8" w:rsidRDefault="008F1CE8" w:rsidP="000217CE">
            <w:pPr>
              <w:spacing w:before="120" w:after="120"/>
              <w:rPr>
                <w:rFonts w:ascii="Georgia" w:hAnsi="Georgia"/>
                <w:sz w:val="20"/>
                <w:szCs w:val="20"/>
              </w:rPr>
            </w:pPr>
          </w:p>
          <w:p w:rsidR="00D15167" w:rsidRDefault="00D15167" w:rsidP="000217CE">
            <w:pPr>
              <w:spacing w:before="120" w:after="120"/>
              <w:rPr>
                <w:rFonts w:ascii="Georgia" w:hAnsi="Georgia"/>
                <w:sz w:val="20"/>
                <w:szCs w:val="20"/>
              </w:rPr>
            </w:pPr>
            <w:r>
              <w:rPr>
                <w:rFonts w:ascii="Georgia" w:hAnsi="Georgia"/>
                <w:sz w:val="20"/>
                <w:szCs w:val="20"/>
              </w:rPr>
              <w:t xml:space="preserve">If consultations are to take place through surveys, then would these only be </w:t>
            </w:r>
            <w:r w:rsidRPr="00BC3FAD">
              <w:rPr>
                <w:rFonts w:ascii="Georgia" w:hAnsi="Georgia"/>
                <w:sz w:val="20"/>
                <w:szCs w:val="20"/>
              </w:rPr>
              <w:t xml:space="preserve">restricted </w:t>
            </w:r>
            <w:r>
              <w:rPr>
                <w:rFonts w:ascii="Georgia" w:hAnsi="Georgia"/>
                <w:sz w:val="20"/>
                <w:szCs w:val="20"/>
              </w:rPr>
              <w:t>to</w:t>
            </w:r>
            <w:r w:rsidRPr="00BC3FAD">
              <w:rPr>
                <w:rFonts w:ascii="Georgia" w:hAnsi="Georgia"/>
                <w:sz w:val="20"/>
                <w:szCs w:val="20"/>
              </w:rPr>
              <w:t xml:space="preserve"> members of steering committee and working group members? Can the consultant seek responses to surveys from any other stakeholder as they deem fit?</w:t>
            </w:r>
          </w:p>
        </w:tc>
        <w:tc>
          <w:tcPr>
            <w:tcW w:w="3402" w:type="dxa"/>
          </w:tcPr>
          <w:p w:rsidR="008F1CE8" w:rsidRPr="00D203BC" w:rsidRDefault="008F1CE8" w:rsidP="000217CE">
            <w:pPr>
              <w:spacing w:before="120" w:after="120"/>
              <w:rPr>
                <w:rFonts w:ascii="Georgia" w:hAnsi="Georgia"/>
                <w:b/>
                <w:szCs w:val="20"/>
              </w:rPr>
            </w:pPr>
            <w:r w:rsidRPr="00D203BC">
              <w:rPr>
                <w:rFonts w:ascii="Georgia" w:hAnsi="Georgia"/>
                <w:b/>
                <w:szCs w:val="20"/>
              </w:rPr>
              <w:t>Please refer to section 11.7.a and ToRs section on Deliverable 2.1 “inception report”. We are expecting that as part of the approach and methodology, the consultant will be proposing the stakeholders and preferred methodology (workshop, meetings, surveys etc.) of consultation activity.</w:t>
            </w:r>
          </w:p>
          <w:p w:rsidR="00D15167" w:rsidRPr="00D203BC" w:rsidRDefault="00D15167" w:rsidP="000217CE">
            <w:pPr>
              <w:spacing w:before="120" w:after="120"/>
              <w:rPr>
                <w:rFonts w:ascii="Georgia" w:hAnsi="Georgia"/>
                <w:b/>
                <w:szCs w:val="20"/>
              </w:rPr>
            </w:pPr>
          </w:p>
          <w:p w:rsidR="008F1CE8" w:rsidRPr="00D203BC" w:rsidRDefault="008F1CE8" w:rsidP="000217CE">
            <w:pPr>
              <w:spacing w:before="120" w:after="120"/>
              <w:rPr>
                <w:rFonts w:ascii="Georgia" w:hAnsi="Georgia"/>
                <w:b/>
                <w:szCs w:val="20"/>
              </w:rPr>
            </w:pPr>
            <w:r w:rsidRPr="00D203BC">
              <w:rPr>
                <w:rFonts w:ascii="Georgia" w:hAnsi="Georgia"/>
                <w:b/>
                <w:szCs w:val="20"/>
              </w:rPr>
              <w:t xml:space="preserve">These consultations should NOT be limited to just the internal stakeholders. Consultations would entail stakeholders from entire financial sector ecosystem. Independent industry views </w:t>
            </w:r>
            <w:r w:rsidRPr="00D203BC">
              <w:rPr>
                <w:rFonts w:ascii="Georgia" w:hAnsi="Georgia"/>
                <w:b/>
                <w:szCs w:val="20"/>
              </w:rPr>
              <w:lastRenderedPageBreak/>
              <w:t xml:space="preserve">need to be the part of this activity. </w:t>
            </w:r>
          </w:p>
        </w:tc>
      </w:tr>
      <w:tr w:rsidR="00D15167" w:rsidTr="000B00D1">
        <w:tc>
          <w:tcPr>
            <w:tcW w:w="804" w:type="dxa"/>
          </w:tcPr>
          <w:p w:rsidR="00D15167" w:rsidRDefault="00D15167" w:rsidP="000217CE">
            <w:pPr>
              <w:spacing w:before="120" w:after="120"/>
              <w:jc w:val="center"/>
              <w:rPr>
                <w:rFonts w:ascii="Georgia" w:hAnsi="Georgia"/>
                <w:sz w:val="20"/>
                <w:szCs w:val="20"/>
              </w:rPr>
            </w:pPr>
            <w:r>
              <w:rPr>
                <w:rFonts w:ascii="Georgia" w:hAnsi="Georgia"/>
                <w:sz w:val="20"/>
                <w:szCs w:val="20"/>
              </w:rPr>
              <w:lastRenderedPageBreak/>
              <w:t>9</w:t>
            </w:r>
          </w:p>
        </w:tc>
        <w:tc>
          <w:tcPr>
            <w:tcW w:w="1975" w:type="dxa"/>
          </w:tcPr>
          <w:p w:rsidR="00D15167" w:rsidRDefault="00D15167" w:rsidP="000217CE">
            <w:pPr>
              <w:spacing w:before="120" w:after="120"/>
              <w:rPr>
                <w:rFonts w:ascii="Georgia" w:hAnsi="Georgia"/>
                <w:sz w:val="20"/>
                <w:szCs w:val="20"/>
              </w:rPr>
            </w:pPr>
            <w:r>
              <w:rPr>
                <w:rFonts w:ascii="Georgia" w:hAnsi="Georgia"/>
                <w:sz w:val="20"/>
                <w:szCs w:val="20"/>
              </w:rPr>
              <w:t>Section 4, Terms of Reference, Scope of Work, Activity – III: Drafting Operating Framework</w:t>
            </w:r>
          </w:p>
        </w:tc>
        <w:tc>
          <w:tcPr>
            <w:tcW w:w="3169" w:type="dxa"/>
          </w:tcPr>
          <w:p w:rsidR="00D15167" w:rsidRPr="00B24EB5" w:rsidRDefault="00D15167" w:rsidP="000217CE">
            <w:pPr>
              <w:spacing w:before="120" w:after="120"/>
              <w:rPr>
                <w:rFonts w:ascii="Georgia" w:hAnsi="Georgia"/>
                <w:sz w:val="20"/>
                <w:szCs w:val="20"/>
              </w:rPr>
            </w:pPr>
            <w:r w:rsidRPr="00F719DC">
              <w:rPr>
                <w:rFonts w:ascii="Georgia" w:hAnsi="Georgia"/>
                <w:sz w:val="20"/>
                <w:szCs w:val="20"/>
              </w:rPr>
              <w:t>Consultant will be reviewing the existing regulatory framework(s), such as Prudential Regulations for SMEs Financing, Agriculture Financing, consumer financing, outsourcing, consumer protection, enterprise IT Governance Framework, Branchless Banking Regulations, PSO/PSP and TPSP etc.</w:t>
            </w:r>
          </w:p>
        </w:tc>
        <w:tc>
          <w:tcPr>
            <w:tcW w:w="3402" w:type="dxa"/>
          </w:tcPr>
          <w:p w:rsidR="00D15167" w:rsidRDefault="00D15167" w:rsidP="001415E9">
            <w:pPr>
              <w:spacing w:before="120" w:after="120"/>
              <w:rPr>
                <w:rFonts w:ascii="Georgia" w:hAnsi="Georgia"/>
                <w:sz w:val="20"/>
                <w:szCs w:val="20"/>
              </w:rPr>
            </w:pPr>
            <w:r>
              <w:rPr>
                <w:rFonts w:ascii="Georgia" w:hAnsi="Georgia"/>
                <w:sz w:val="20"/>
                <w:szCs w:val="20"/>
              </w:rPr>
              <w:t>Confirmation is requested on whether the existing regulatory frameworks that are to be reviewed for the purpose of this engagement pertain only to those that are issued by the State Bank of Pakistan.</w:t>
            </w:r>
          </w:p>
        </w:tc>
        <w:tc>
          <w:tcPr>
            <w:tcW w:w="3402" w:type="dxa"/>
          </w:tcPr>
          <w:p w:rsidR="00D15167" w:rsidRPr="00D203BC" w:rsidRDefault="00611B13" w:rsidP="001415E9">
            <w:pPr>
              <w:spacing w:before="120" w:after="120"/>
              <w:rPr>
                <w:rFonts w:ascii="Georgia" w:hAnsi="Georgia"/>
                <w:b/>
                <w:szCs w:val="20"/>
              </w:rPr>
            </w:pPr>
            <w:r w:rsidRPr="00D203BC">
              <w:rPr>
                <w:rFonts w:ascii="Georgia" w:hAnsi="Georgia"/>
                <w:b/>
                <w:szCs w:val="20"/>
              </w:rPr>
              <w:t xml:space="preserve">Yes, however, during the review, if any gaps are identified in light of comparative analysis of international best practices, certain regulatory frameworks under jurisdiction of other regulators </w:t>
            </w:r>
            <w:r w:rsidR="00762816" w:rsidRPr="00D203BC">
              <w:rPr>
                <w:rFonts w:ascii="Georgia" w:hAnsi="Georgia"/>
                <w:b/>
                <w:szCs w:val="20"/>
              </w:rPr>
              <w:t>(PTA, SECP,</w:t>
            </w:r>
            <w:r w:rsidR="00AE0B32" w:rsidRPr="00D203BC">
              <w:rPr>
                <w:rFonts w:ascii="Georgia" w:hAnsi="Georgia"/>
                <w:b/>
                <w:szCs w:val="20"/>
              </w:rPr>
              <w:t xml:space="preserve"> </w:t>
            </w:r>
            <w:r w:rsidR="00762816" w:rsidRPr="00D203BC">
              <w:rPr>
                <w:rFonts w:ascii="Georgia" w:hAnsi="Georgia"/>
                <w:b/>
                <w:szCs w:val="20"/>
              </w:rPr>
              <w:t xml:space="preserve">etc.) </w:t>
            </w:r>
            <w:r w:rsidRPr="00D203BC">
              <w:rPr>
                <w:rFonts w:ascii="Georgia" w:hAnsi="Georgia"/>
                <w:b/>
                <w:szCs w:val="20"/>
              </w:rPr>
              <w:t xml:space="preserve">might be included as well.  </w:t>
            </w:r>
          </w:p>
        </w:tc>
      </w:tr>
      <w:tr w:rsidR="00D15167" w:rsidTr="000B00D1">
        <w:tc>
          <w:tcPr>
            <w:tcW w:w="804" w:type="dxa"/>
          </w:tcPr>
          <w:p w:rsidR="00D15167" w:rsidRDefault="00D15167" w:rsidP="000217CE">
            <w:pPr>
              <w:spacing w:before="120" w:after="120"/>
              <w:jc w:val="center"/>
              <w:rPr>
                <w:rFonts w:ascii="Georgia" w:hAnsi="Georgia"/>
                <w:sz w:val="20"/>
                <w:szCs w:val="20"/>
              </w:rPr>
            </w:pPr>
            <w:r>
              <w:rPr>
                <w:rFonts w:ascii="Georgia" w:hAnsi="Georgia"/>
                <w:sz w:val="20"/>
                <w:szCs w:val="20"/>
              </w:rPr>
              <w:t>10</w:t>
            </w:r>
          </w:p>
        </w:tc>
        <w:tc>
          <w:tcPr>
            <w:tcW w:w="1975" w:type="dxa"/>
          </w:tcPr>
          <w:p w:rsidR="00D15167" w:rsidRDefault="00D15167" w:rsidP="000217CE">
            <w:pPr>
              <w:spacing w:before="120" w:after="120"/>
              <w:rPr>
                <w:rFonts w:ascii="Georgia" w:hAnsi="Georgia"/>
                <w:sz w:val="20"/>
                <w:szCs w:val="20"/>
              </w:rPr>
            </w:pPr>
            <w:r>
              <w:rPr>
                <w:rFonts w:ascii="Georgia" w:hAnsi="Georgia"/>
                <w:sz w:val="20"/>
                <w:szCs w:val="20"/>
              </w:rPr>
              <w:t>Section 4, Terms of Reference, Deliverables (2.1)</w:t>
            </w:r>
          </w:p>
        </w:tc>
        <w:tc>
          <w:tcPr>
            <w:tcW w:w="3169" w:type="dxa"/>
          </w:tcPr>
          <w:p w:rsidR="00D15167" w:rsidRPr="00B24EB5" w:rsidRDefault="00D15167" w:rsidP="000217CE">
            <w:pPr>
              <w:spacing w:before="120" w:after="120"/>
              <w:rPr>
                <w:rFonts w:ascii="Georgia" w:hAnsi="Georgia"/>
                <w:sz w:val="20"/>
                <w:szCs w:val="20"/>
              </w:rPr>
            </w:pPr>
            <w:r w:rsidRPr="00A82DC2">
              <w:rPr>
                <w:rFonts w:ascii="Georgia" w:hAnsi="Georgia"/>
                <w:sz w:val="20"/>
                <w:szCs w:val="20"/>
              </w:rPr>
              <w:t>An inception report with proposed work plan, templates of the intermediate and final reports, list of primary and secondary literature, list of stakeholders the consultant proposes to meet, plans for the consultation process, including meeting schedules, and a detailed project plan with costing and final timelines</w:t>
            </w:r>
          </w:p>
        </w:tc>
        <w:tc>
          <w:tcPr>
            <w:tcW w:w="3402" w:type="dxa"/>
          </w:tcPr>
          <w:p w:rsidR="00D15167" w:rsidRDefault="00D15167" w:rsidP="000217CE">
            <w:pPr>
              <w:spacing w:before="120" w:after="120"/>
              <w:rPr>
                <w:rFonts w:ascii="Georgia" w:hAnsi="Georgia"/>
                <w:sz w:val="20"/>
                <w:szCs w:val="20"/>
              </w:rPr>
            </w:pPr>
            <w:r>
              <w:rPr>
                <w:rFonts w:ascii="Georgia" w:hAnsi="Georgia"/>
                <w:sz w:val="20"/>
                <w:szCs w:val="20"/>
              </w:rPr>
              <w:t xml:space="preserve">Clarification is requested on what is meant by the terms </w:t>
            </w:r>
            <w:r w:rsidRPr="00CC21B7">
              <w:rPr>
                <w:rFonts w:ascii="Georgia" w:hAnsi="Georgia"/>
                <w:i/>
                <w:sz w:val="20"/>
                <w:szCs w:val="20"/>
              </w:rPr>
              <w:t>“list of primary and secondary literature”</w:t>
            </w:r>
          </w:p>
        </w:tc>
        <w:tc>
          <w:tcPr>
            <w:tcW w:w="3402" w:type="dxa"/>
          </w:tcPr>
          <w:p w:rsidR="00D15167" w:rsidRPr="00D203BC" w:rsidRDefault="00FA0771" w:rsidP="000217CE">
            <w:pPr>
              <w:spacing w:before="120" w:after="120"/>
              <w:rPr>
                <w:rFonts w:ascii="Georgia" w:hAnsi="Georgia"/>
                <w:b/>
                <w:szCs w:val="20"/>
              </w:rPr>
            </w:pPr>
            <w:r w:rsidRPr="00D203BC">
              <w:rPr>
                <w:rFonts w:ascii="Georgia" w:hAnsi="Georgia"/>
                <w:b/>
                <w:szCs w:val="20"/>
              </w:rPr>
              <w:t xml:space="preserve">This is the base of assessment /comparative analysis report. </w:t>
            </w:r>
            <w:r w:rsidR="00611B13" w:rsidRPr="00D203BC">
              <w:rPr>
                <w:rFonts w:ascii="Georgia" w:hAnsi="Georgia"/>
                <w:b/>
                <w:szCs w:val="20"/>
              </w:rPr>
              <w:t>This may include:</w:t>
            </w:r>
          </w:p>
          <w:p w:rsidR="00611B13" w:rsidRPr="00D203BC" w:rsidRDefault="00FA0771" w:rsidP="00FA0771">
            <w:pPr>
              <w:pStyle w:val="ListParagraph"/>
              <w:numPr>
                <w:ilvl w:val="0"/>
                <w:numId w:val="5"/>
              </w:numPr>
              <w:spacing w:before="120" w:after="120"/>
              <w:ind w:left="348" w:hanging="192"/>
              <w:rPr>
                <w:rFonts w:ascii="Georgia" w:hAnsi="Georgia"/>
                <w:b/>
                <w:szCs w:val="20"/>
              </w:rPr>
            </w:pPr>
            <w:r w:rsidRPr="00D203BC">
              <w:rPr>
                <w:rFonts w:ascii="Georgia" w:hAnsi="Georgia"/>
                <w:b/>
                <w:szCs w:val="20"/>
              </w:rPr>
              <w:t>Relevant policy and regulatory documents in different jurisdictions</w:t>
            </w:r>
          </w:p>
          <w:p w:rsidR="00FA0771" w:rsidRPr="00D203BC" w:rsidRDefault="00FA0771" w:rsidP="00FA0771">
            <w:pPr>
              <w:pStyle w:val="ListParagraph"/>
              <w:numPr>
                <w:ilvl w:val="0"/>
                <w:numId w:val="5"/>
              </w:numPr>
              <w:spacing w:before="120" w:after="120"/>
              <w:ind w:left="348" w:hanging="192"/>
              <w:rPr>
                <w:rFonts w:ascii="Georgia" w:hAnsi="Georgia"/>
                <w:b/>
                <w:szCs w:val="20"/>
              </w:rPr>
            </w:pPr>
            <w:r w:rsidRPr="00D203BC">
              <w:rPr>
                <w:rFonts w:ascii="Georgia" w:hAnsi="Georgia"/>
                <w:b/>
                <w:szCs w:val="20"/>
              </w:rPr>
              <w:t>In-house study(ies)/research on Digital Banks, if available.</w:t>
            </w:r>
          </w:p>
          <w:p w:rsidR="00FA0771" w:rsidRPr="00D203BC" w:rsidRDefault="00FA0771" w:rsidP="00FA0771">
            <w:pPr>
              <w:pStyle w:val="ListParagraph"/>
              <w:numPr>
                <w:ilvl w:val="0"/>
                <w:numId w:val="5"/>
              </w:numPr>
              <w:spacing w:before="120" w:after="120"/>
              <w:ind w:left="348" w:hanging="192"/>
              <w:rPr>
                <w:rFonts w:ascii="Georgia" w:hAnsi="Georgia"/>
                <w:b/>
                <w:szCs w:val="20"/>
              </w:rPr>
            </w:pPr>
            <w:r w:rsidRPr="00D203BC">
              <w:rPr>
                <w:rFonts w:ascii="Georgia" w:hAnsi="Georgia"/>
                <w:b/>
                <w:szCs w:val="20"/>
              </w:rPr>
              <w:t>Any other relevant studies research on Digital Banks.</w:t>
            </w:r>
          </w:p>
        </w:tc>
      </w:tr>
      <w:tr w:rsidR="00D15167" w:rsidTr="000B00D1">
        <w:tc>
          <w:tcPr>
            <w:tcW w:w="804" w:type="dxa"/>
          </w:tcPr>
          <w:p w:rsidR="00D15167" w:rsidRDefault="00D15167" w:rsidP="000217CE">
            <w:pPr>
              <w:spacing w:before="120" w:after="120"/>
              <w:jc w:val="center"/>
              <w:rPr>
                <w:rFonts w:ascii="Georgia" w:hAnsi="Georgia"/>
                <w:sz w:val="20"/>
                <w:szCs w:val="20"/>
              </w:rPr>
            </w:pPr>
            <w:r>
              <w:rPr>
                <w:rFonts w:ascii="Georgia" w:hAnsi="Georgia"/>
                <w:sz w:val="20"/>
                <w:szCs w:val="20"/>
              </w:rPr>
              <w:t>11</w:t>
            </w:r>
          </w:p>
        </w:tc>
        <w:tc>
          <w:tcPr>
            <w:tcW w:w="1975" w:type="dxa"/>
          </w:tcPr>
          <w:p w:rsidR="00D15167" w:rsidRDefault="00D15167" w:rsidP="000217CE">
            <w:pPr>
              <w:spacing w:before="120" w:after="120"/>
              <w:rPr>
                <w:rFonts w:ascii="Georgia" w:hAnsi="Georgia"/>
                <w:sz w:val="20"/>
                <w:szCs w:val="20"/>
              </w:rPr>
            </w:pPr>
            <w:r>
              <w:rPr>
                <w:rFonts w:ascii="Georgia" w:hAnsi="Georgia"/>
                <w:sz w:val="20"/>
                <w:szCs w:val="20"/>
              </w:rPr>
              <w:t>Section 4, Terms of Reference, Deliverables (2.10)</w:t>
            </w:r>
          </w:p>
        </w:tc>
        <w:tc>
          <w:tcPr>
            <w:tcW w:w="3169" w:type="dxa"/>
          </w:tcPr>
          <w:p w:rsidR="00D15167" w:rsidRPr="00A82DC2" w:rsidRDefault="00D15167" w:rsidP="000217CE">
            <w:pPr>
              <w:spacing w:before="120" w:after="120"/>
              <w:rPr>
                <w:rFonts w:ascii="Georgia" w:hAnsi="Georgia"/>
                <w:sz w:val="20"/>
                <w:szCs w:val="20"/>
              </w:rPr>
            </w:pPr>
            <w:r w:rsidRPr="00D14DDF">
              <w:rPr>
                <w:rFonts w:ascii="Georgia" w:hAnsi="Georgia"/>
                <w:sz w:val="20"/>
                <w:szCs w:val="20"/>
              </w:rPr>
              <w:t xml:space="preserve">Detailed assessment report on international best practices on digital on-boarding, Corporate Governance for Digital Banks, cloud computing for digital </w:t>
            </w:r>
            <w:r w:rsidRPr="00D14DDF">
              <w:rPr>
                <w:rFonts w:ascii="Georgia" w:hAnsi="Georgia"/>
                <w:sz w:val="20"/>
                <w:szCs w:val="20"/>
              </w:rPr>
              <w:lastRenderedPageBreak/>
              <w:t>banks, Artificial Intelligence/data analytics, Privacy and data protection, cyber security measures for digital banks, regulatory sandbox approach, policy on Application Program Interface and consumer protection etc.</w:t>
            </w:r>
          </w:p>
        </w:tc>
        <w:tc>
          <w:tcPr>
            <w:tcW w:w="3402" w:type="dxa"/>
          </w:tcPr>
          <w:p w:rsidR="00D15167" w:rsidRDefault="00D15167" w:rsidP="00D14DDF">
            <w:pPr>
              <w:spacing w:before="120" w:after="120"/>
              <w:rPr>
                <w:rFonts w:ascii="Georgia" w:hAnsi="Georgia"/>
                <w:sz w:val="20"/>
                <w:szCs w:val="20"/>
              </w:rPr>
            </w:pPr>
            <w:r>
              <w:rPr>
                <w:rFonts w:ascii="Georgia" w:hAnsi="Georgia"/>
                <w:sz w:val="20"/>
                <w:szCs w:val="20"/>
              </w:rPr>
              <w:lastRenderedPageBreak/>
              <w:t xml:space="preserve">Clarification is requested on the </w:t>
            </w:r>
            <w:r w:rsidRPr="00D14DDF">
              <w:rPr>
                <w:rFonts w:ascii="Georgia" w:hAnsi="Georgia"/>
                <w:sz w:val="20"/>
                <w:szCs w:val="20"/>
              </w:rPr>
              <w:t>"Regulatory Sandbox</w:t>
            </w:r>
            <w:r>
              <w:rPr>
                <w:rFonts w:ascii="Georgia" w:hAnsi="Georgia"/>
                <w:sz w:val="20"/>
                <w:szCs w:val="20"/>
              </w:rPr>
              <w:t xml:space="preserve"> approach</w:t>
            </w:r>
            <w:r w:rsidRPr="00D14DDF">
              <w:rPr>
                <w:rFonts w:ascii="Georgia" w:hAnsi="Georgia"/>
                <w:sz w:val="20"/>
                <w:szCs w:val="20"/>
              </w:rPr>
              <w:t xml:space="preserve">". </w:t>
            </w:r>
          </w:p>
          <w:p w:rsidR="00D15167" w:rsidRDefault="00D15167" w:rsidP="00D14DDF">
            <w:pPr>
              <w:spacing w:before="120" w:after="120"/>
              <w:rPr>
                <w:rFonts w:ascii="Georgia" w:hAnsi="Georgia"/>
                <w:sz w:val="20"/>
                <w:szCs w:val="20"/>
              </w:rPr>
            </w:pPr>
            <w:r w:rsidRPr="00D14DDF">
              <w:rPr>
                <w:rFonts w:ascii="Georgia" w:hAnsi="Georgia"/>
                <w:sz w:val="20"/>
                <w:szCs w:val="20"/>
              </w:rPr>
              <w:t xml:space="preserve">Which entity shall own the ‘Regulatory Sandbox’ specifically to </w:t>
            </w:r>
            <w:r w:rsidRPr="00D14DDF">
              <w:rPr>
                <w:rFonts w:ascii="Georgia" w:hAnsi="Georgia"/>
                <w:sz w:val="20"/>
                <w:szCs w:val="20"/>
              </w:rPr>
              <w:lastRenderedPageBreak/>
              <w:t>provide the test environment for Digital Banking providers and Fintech</w:t>
            </w:r>
            <w:r>
              <w:rPr>
                <w:rFonts w:ascii="Georgia" w:hAnsi="Georgia"/>
                <w:sz w:val="20"/>
                <w:szCs w:val="20"/>
              </w:rPr>
              <w:t>? Will there be both Central Bank provided innovation center/ sandbox facility or options for using sandbox environments at any of the following:</w:t>
            </w:r>
          </w:p>
          <w:p w:rsidR="00D15167" w:rsidRPr="00FA7260" w:rsidRDefault="00D15167" w:rsidP="00FA7260">
            <w:pPr>
              <w:pStyle w:val="ListParagraph"/>
              <w:numPr>
                <w:ilvl w:val="0"/>
                <w:numId w:val="3"/>
              </w:numPr>
              <w:ind w:left="526"/>
              <w:rPr>
                <w:rFonts w:ascii="Georgia" w:hAnsi="Georgia"/>
                <w:sz w:val="20"/>
                <w:szCs w:val="20"/>
              </w:rPr>
            </w:pPr>
            <w:r>
              <w:rPr>
                <w:rFonts w:ascii="Georgia" w:hAnsi="Georgia"/>
                <w:sz w:val="20"/>
                <w:szCs w:val="20"/>
              </w:rPr>
              <w:t>N</w:t>
            </w:r>
            <w:r w:rsidRPr="00FA7260">
              <w:rPr>
                <w:rFonts w:ascii="Georgia" w:hAnsi="Georgia"/>
                <w:sz w:val="20"/>
                <w:szCs w:val="20"/>
              </w:rPr>
              <w:t xml:space="preserve">ational incubation centers </w:t>
            </w:r>
          </w:p>
          <w:p w:rsidR="00D15167" w:rsidRPr="00FA7260" w:rsidRDefault="00D15167" w:rsidP="00FA7260">
            <w:pPr>
              <w:pStyle w:val="ListParagraph"/>
              <w:numPr>
                <w:ilvl w:val="0"/>
                <w:numId w:val="3"/>
              </w:numPr>
              <w:ind w:left="526"/>
              <w:rPr>
                <w:rFonts w:ascii="Georgia" w:hAnsi="Georgia"/>
                <w:sz w:val="20"/>
                <w:szCs w:val="20"/>
              </w:rPr>
            </w:pPr>
            <w:r>
              <w:rPr>
                <w:rFonts w:ascii="Georgia" w:hAnsi="Georgia"/>
                <w:sz w:val="20"/>
                <w:szCs w:val="20"/>
              </w:rPr>
              <w:t xml:space="preserve">Those </w:t>
            </w:r>
            <w:r w:rsidRPr="00FA7260">
              <w:rPr>
                <w:rFonts w:ascii="Georgia" w:hAnsi="Georgia"/>
                <w:sz w:val="20"/>
                <w:szCs w:val="20"/>
              </w:rPr>
              <w:t>operat</w:t>
            </w:r>
            <w:r>
              <w:rPr>
                <w:rFonts w:ascii="Georgia" w:hAnsi="Georgia"/>
                <w:sz w:val="20"/>
                <w:szCs w:val="20"/>
              </w:rPr>
              <w:t>ing</w:t>
            </w:r>
            <w:r w:rsidRPr="00FA7260">
              <w:rPr>
                <w:rFonts w:ascii="Georgia" w:hAnsi="Georgia"/>
                <w:sz w:val="20"/>
                <w:szCs w:val="20"/>
              </w:rPr>
              <w:t xml:space="preserve"> under public private partnership modes </w:t>
            </w:r>
          </w:p>
          <w:p w:rsidR="00D15167" w:rsidRPr="00A5776A" w:rsidRDefault="00D15167" w:rsidP="00AE0064">
            <w:pPr>
              <w:pStyle w:val="ListParagraph"/>
              <w:numPr>
                <w:ilvl w:val="0"/>
                <w:numId w:val="3"/>
              </w:numPr>
              <w:spacing w:before="120" w:after="120"/>
              <w:ind w:left="526"/>
              <w:rPr>
                <w:rFonts w:ascii="Georgia" w:hAnsi="Georgia"/>
                <w:sz w:val="20"/>
                <w:szCs w:val="20"/>
              </w:rPr>
            </w:pPr>
            <w:r w:rsidRPr="00A5776A">
              <w:rPr>
                <w:rFonts w:ascii="Georgia" w:hAnsi="Georgia"/>
                <w:sz w:val="20"/>
                <w:szCs w:val="20"/>
              </w:rPr>
              <w:t xml:space="preserve">Bank’s/ Banking Group’s own innovation center </w:t>
            </w:r>
          </w:p>
          <w:p w:rsidR="00D15167" w:rsidRDefault="00D15167" w:rsidP="001415E9">
            <w:pPr>
              <w:spacing w:before="120" w:after="120"/>
              <w:rPr>
                <w:rFonts w:ascii="Georgia" w:hAnsi="Georgia"/>
                <w:sz w:val="20"/>
                <w:szCs w:val="20"/>
              </w:rPr>
            </w:pPr>
            <w:r>
              <w:rPr>
                <w:rFonts w:ascii="Georgia" w:hAnsi="Georgia"/>
                <w:sz w:val="20"/>
                <w:szCs w:val="20"/>
              </w:rPr>
              <w:t>Further, d</w:t>
            </w:r>
            <w:r w:rsidRPr="00D14DDF">
              <w:rPr>
                <w:rFonts w:ascii="Georgia" w:hAnsi="Georgia"/>
                <w:sz w:val="20"/>
                <w:szCs w:val="20"/>
              </w:rPr>
              <w:t xml:space="preserve">oes </w:t>
            </w:r>
            <w:r>
              <w:rPr>
                <w:rFonts w:ascii="Georgia" w:hAnsi="Georgia"/>
                <w:sz w:val="20"/>
                <w:szCs w:val="20"/>
              </w:rPr>
              <w:t>the regulatory sandbox approach m</w:t>
            </w:r>
            <w:r w:rsidRPr="00D14DDF">
              <w:rPr>
                <w:rFonts w:ascii="Georgia" w:hAnsi="Georgia"/>
                <w:sz w:val="20"/>
                <w:szCs w:val="20"/>
              </w:rPr>
              <w:t>ean both business regulation and technical standards and/or incubator operating environment?</w:t>
            </w:r>
          </w:p>
          <w:p w:rsidR="00D15167" w:rsidRPr="009507EB" w:rsidRDefault="00D15167" w:rsidP="009507EB">
            <w:pPr>
              <w:spacing w:before="120" w:after="120"/>
              <w:rPr>
                <w:rFonts w:ascii="Georgia" w:hAnsi="Georgia"/>
                <w:sz w:val="20"/>
                <w:szCs w:val="20"/>
              </w:rPr>
            </w:pPr>
            <w:r>
              <w:rPr>
                <w:rFonts w:ascii="Georgia" w:hAnsi="Georgia"/>
                <w:sz w:val="20"/>
                <w:szCs w:val="20"/>
              </w:rPr>
              <w:t xml:space="preserve">Will the sandbox be applicable to </w:t>
            </w:r>
            <w:r w:rsidRPr="009507EB">
              <w:rPr>
                <w:rFonts w:ascii="Georgia" w:hAnsi="Georgia"/>
                <w:sz w:val="20"/>
                <w:szCs w:val="20"/>
              </w:rPr>
              <w:t xml:space="preserve">digital banks only, or also </w:t>
            </w:r>
            <w:r>
              <w:rPr>
                <w:rFonts w:ascii="Georgia" w:hAnsi="Georgia"/>
                <w:sz w:val="20"/>
                <w:szCs w:val="20"/>
              </w:rPr>
              <w:t xml:space="preserve">on the banks’ relationship with </w:t>
            </w:r>
            <w:r w:rsidRPr="009507EB">
              <w:rPr>
                <w:rFonts w:ascii="Georgia" w:hAnsi="Georgia"/>
                <w:sz w:val="20"/>
                <w:szCs w:val="20"/>
              </w:rPr>
              <w:t>third parties, facilitating in setting up digital platforms, contributing in product/ service delivery or partnering in wider eco-system collaborations, such as the</w:t>
            </w:r>
            <w:r>
              <w:rPr>
                <w:rFonts w:ascii="Georgia" w:hAnsi="Georgia"/>
                <w:sz w:val="20"/>
                <w:szCs w:val="20"/>
              </w:rPr>
              <w:t xml:space="preserve"> following</w:t>
            </w:r>
            <w:r w:rsidRPr="009507EB">
              <w:rPr>
                <w:rFonts w:ascii="Georgia" w:hAnsi="Georgia"/>
                <w:sz w:val="20"/>
                <w:szCs w:val="20"/>
              </w:rPr>
              <w:t>:</w:t>
            </w:r>
          </w:p>
          <w:p w:rsidR="00D15167" w:rsidRPr="009507EB" w:rsidRDefault="00D15167" w:rsidP="009507EB">
            <w:pPr>
              <w:pStyle w:val="ListParagraph"/>
              <w:numPr>
                <w:ilvl w:val="0"/>
                <w:numId w:val="3"/>
              </w:numPr>
              <w:ind w:left="526"/>
              <w:rPr>
                <w:rFonts w:ascii="Georgia" w:hAnsi="Georgia"/>
                <w:sz w:val="20"/>
                <w:szCs w:val="20"/>
              </w:rPr>
            </w:pPr>
            <w:r w:rsidRPr="009507EB">
              <w:rPr>
                <w:rFonts w:ascii="Georgia" w:hAnsi="Georgia"/>
                <w:sz w:val="20"/>
                <w:szCs w:val="20"/>
              </w:rPr>
              <w:t xml:space="preserve">FinTechs (technology provider, API developers, aggregators, other firms etc.) </w:t>
            </w:r>
          </w:p>
          <w:p w:rsidR="00D15167" w:rsidRDefault="00D15167" w:rsidP="00DC0BB6">
            <w:pPr>
              <w:pStyle w:val="ListParagraph"/>
              <w:numPr>
                <w:ilvl w:val="0"/>
                <w:numId w:val="3"/>
              </w:numPr>
              <w:ind w:left="526"/>
              <w:rPr>
                <w:rFonts w:ascii="Georgia" w:hAnsi="Georgia"/>
                <w:sz w:val="20"/>
                <w:szCs w:val="20"/>
              </w:rPr>
            </w:pPr>
            <w:r>
              <w:rPr>
                <w:rFonts w:ascii="Georgia" w:hAnsi="Georgia"/>
                <w:sz w:val="20"/>
                <w:szCs w:val="20"/>
              </w:rPr>
              <w:t>NADRA, credit bureaus, telcos, utilities and social media companies etc.</w:t>
            </w:r>
          </w:p>
          <w:p w:rsidR="00D15167" w:rsidRPr="009507EB" w:rsidRDefault="00D15167" w:rsidP="009507EB">
            <w:pPr>
              <w:pStyle w:val="ListParagraph"/>
              <w:numPr>
                <w:ilvl w:val="0"/>
                <w:numId w:val="3"/>
              </w:numPr>
              <w:ind w:left="526"/>
              <w:rPr>
                <w:rFonts w:ascii="Georgia" w:hAnsi="Georgia"/>
                <w:sz w:val="20"/>
                <w:szCs w:val="20"/>
              </w:rPr>
            </w:pPr>
            <w:r w:rsidRPr="009507EB">
              <w:rPr>
                <w:rFonts w:ascii="Georgia" w:hAnsi="Georgia"/>
                <w:sz w:val="20"/>
                <w:szCs w:val="20"/>
              </w:rPr>
              <w:t>On-line retailers</w:t>
            </w:r>
          </w:p>
          <w:p w:rsidR="00D15167" w:rsidRPr="009507EB" w:rsidRDefault="00D15167" w:rsidP="009507EB">
            <w:pPr>
              <w:pStyle w:val="ListParagraph"/>
              <w:numPr>
                <w:ilvl w:val="0"/>
                <w:numId w:val="3"/>
              </w:numPr>
              <w:ind w:left="526"/>
              <w:rPr>
                <w:rFonts w:ascii="Georgia" w:hAnsi="Georgia"/>
                <w:sz w:val="20"/>
                <w:szCs w:val="20"/>
              </w:rPr>
            </w:pPr>
            <w:r w:rsidRPr="009507EB">
              <w:rPr>
                <w:rFonts w:ascii="Georgia" w:hAnsi="Georgia"/>
                <w:sz w:val="20"/>
                <w:szCs w:val="20"/>
              </w:rPr>
              <w:t xml:space="preserve">Companies with e-commerce platforms </w:t>
            </w:r>
          </w:p>
          <w:p w:rsidR="00D15167" w:rsidRDefault="00D15167" w:rsidP="008E4E56">
            <w:pPr>
              <w:pStyle w:val="ListParagraph"/>
              <w:numPr>
                <w:ilvl w:val="0"/>
                <w:numId w:val="3"/>
              </w:numPr>
              <w:ind w:left="526"/>
              <w:rPr>
                <w:rFonts w:ascii="Georgia" w:hAnsi="Georgia"/>
                <w:sz w:val="20"/>
                <w:szCs w:val="20"/>
              </w:rPr>
            </w:pPr>
            <w:r w:rsidRPr="008E4E56">
              <w:rPr>
                <w:rFonts w:ascii="Georgia" w:hAnsi="Georgia"/>
                <w:sz w:val="20"/>
                <w:szCs w:val="20"/>
              </w:rPr>
              <w:lastRenderedPageBreak/>
              <w:t>Financial services organisations e.g. insurance, asset management and other companies</w:t>
            </w:r>
          </w:p>
          <w:p w:rsidR="00D15167" w:rsidRDefault="00D15167" w:rsidP="008E4E56">
            <w:pPr>
              <w:pStyle w:val="ListParagraph"/>
              <w:ind w:left="526"/>
              <w:rPr>
                <w:rFonts w:ascii="Georgia" w:hAnsi="Georgia"/>
                <w:sz w:val="20"/>
                <w:szCs w:val="20"/>
              </w:rPr>
            </w:pPr>
          </w:p>
        </w:tc>
        <w:tc>
          <w:tcPr>
            <w:tcW w:w="3402" w:type="dxa"/>
          </w:tcPr>
          <w:p w:rsidR="00D15167" w:rsidRPr="00D203BC" w:rsidRDefault="00FA0771" w:rsidP="00D14DDF">
            <w:pPr>
              <w:spacing w:before="120" w:after="120"/>
              <w:rPr>
                <w:rFonts w:ascii="Georgia" w:hAnsi="Georgia"/>
                <w:b/>
                <w:szCs w:val="20"/>
              </w:rPr>
            </w:pPr>
            <w:r w:rsidRPr="00D203BC">
              <w:rPr>
                <w:rFonts w:ascii="Georgia" w:hAnsi="Georgia"/>
                <w:b/>
                <w:szCs w:val="20"/>
              </w:rPr>
              <w:lastRenderedPageBreak/>
              <w:t xml:space="preserve">This would be the part of assignment. Consultant would be listing down different approaches and </w:t>
            </w:r>
            <w:r w:rsidRPr="00D203BC">
              <w:rPr>
                <w:rFonts w:ascii="Georgia" w:hAnsi="Georgia"/>
                <w:b/>
                <w:szCs w:val="20"/>
              </w:rPr>
              <w:lastRenderedPageBreak/>
              <w:t>will be recommending the best options based on the relevancy and success in different jurisdictions.</w:t>
            </w:r>
          </w:p>
        </w:tc>
      </w:tr>
      <w:tr w:rsidR="00D15167" w:rsidTr="000B00D1">
        <w:tc>
          <w:tcPr>
            <w:tcW w:w="804" w:type="dxa"/>
          </w:tcPr>
          <w:p w:rsidR="00D15167" w:rsidRDefault="00D15167" w:rsidP="000217CE">
            <w:pPr>
              <w:spacing w:before="120" w:after="120"/>
              <w:jc w:val="center"/>
              <w:rPr>
                <w:rFonts w:ascii="Georgia" w:hAnsi="Georgia"/>
                <w:sz w:val="20"/>
                <w:szCs w:val="20"/>
              </w:rPr>
            </w:pPr>
            <w:r>
              <w:rPr>
                <w:rFonts w:ascii="Georgia" w:hAnsi="Georgia"/>
                <w:sz w:val="20"/>
                <w:szCs w:val="20"/>
              </w:rPr>
              <w:lastRenderedPageBreak/>
              <w:t>12</w:t>
            </w:r>
          </w:p>
        </w:tc>
        <w:tc>
          <w:tcPr>
            <w:tcW w:w="1975" w:type="dxa"/>
          </w:tcPr>
          <w:p w:rsidR="00D15167" w:rsidRDefault="00D15167" w:rsidP="000217CE">
            <w:pPr>
              <w:spacing w:before="120" w:after="120"/>
              <w:rPr>
                <w:rFonts w:ascii="Georgia" w:hAnsi="Georgia"/>
                <w:sz w:val="20"/>
                <w:szCs w:val="20"/>
              </w:rPr>
            </w:pPr>
            <w:r>
              <w:rPr>
                <w:rFonts w:ascii="Georgia" w:hAnsi="Georgia"/>
                <w:sz w:val="20"/>
                <w:szCs w:val="20"/>
              </w:rPr>
              <w:t>Section 4, Terms of Reference, Deliverables, Consolidated Regulatory Framework (2.16)</w:t>
            </w:r>
          </w:p>
        </w:tc>
        <w:tc>
          <w:tcPr>
            <w:tcW w:w="3169" w:type="dxa"/>
          </w:tcPr>
          <w:p w:rsidR="00D15167" w:rsidRPr="000217CE" w:rsidRDefault="00D15167" w:rsidP="000217CE">
            <w:pPr>
              <w:spacing w:before="120" w:after="120"/>
              <w:rPr>
                <w:rFonts w:ascii="Georgia" w:hAnsi="Georgia"/>
                <w:sz w:val="20"/>
                <w:szCs w:val="20"/>
              </w:rPr>
            </w:pPr>
            <w:r w:rsidRPr="000217CE">
              <w:rPr>
                <w:rFonts w:ascii="Georgia" w:hAnsi="Georgia"/>
                <w:sz w:val="20"/>
                <w:szCs w:val="20"/>
              </w:rPr>
              <w:t>Consultant shall assist SBP to entertain stakeholders’ queries on licensing criteria. While processing the first batch of applications for Digital Banks in Pakistan, the consultant will also assist SBP for conducting due diligence of these proposals.</w:t>
            </w:r>
          </w:p>
        </w:tc>
        <w:tc>
          <w:tcPr>
            <w:tcW w:w="3402" w:type="dxa"/>
          </w:tcPr>
          <w:p w:rsidR="00D15167" w:rsidRDefault="00D15167" w:rsidP="000F3C50">
            <w:pPr>
              <w:spacing w:before="120" w:after="120"/>
              <w:rPr>
                <w:rFonts w:ascii="Georgia" w:hAnsi="Georgia"/>
                <w:sz w:val="20"/>
                <w:szCs w:val="20"/>
              </w:rPr>
            </w:pPr>
            <w:r w:rsidRPr="000F3C50">
              <w:rPr>
                <w:rFonts w:ascii="Georgia" w:hAnsi="Georgia"/>
                <w:sz w:val="20"/>
                <w:szCs w:val="20"/>
              </w:rPr>
              <w:t>Clarification is required on whether our availability will be required to address SBP queries if any, for conducting due diligence of the first digital bank proposal within the first batch of applications for digital banks that it receives, or for all applicants within the first batch.</w:t>
            </w:r>
          </w:p>
          <w:p w:rsidR="00D15167" w:rsidRDefault="00D15167" w:rsidP="000F3C50">
            <w:pPr>
              <w:spacing w:before="120" w:after="120"/>
              <w:rPr>
                <w:rFonts w:ascii="Georgia" w:hAnsi="Georgia"/>
                <w:sz w:val="20"/>
                <w:szCs w:val="20"/>
              </w:rPr>
            </w:pPr>
            <w:r w:rsidRPr="000F3C50">
              <w:rPr>
                <w:rFonts w:ascii="Georgia" w:hAnsi="Georgia"/>
                <w:sz w:val="20"/>
                <w:szCs w:val="20"/>
              </w:rPr>
              <w:t>Information is requested on the estimated number of applications for the first batch of applications of digital banks in Pakistan.</w:t>
            </w:r>
          </w:p>
          <w:p w:rsidR="00441E8E" w:rsidRDefault="00441E8E" w:rsidP="000F3C50">
            <w:pPr>
              <w:spacing w:before="120" w:after="120"/>
              <w:rPr>
                <w:rFonts w:ascii="Georgia" w:hAnsi="Georgia"/>
                <w:sz w:val="20"/>
                <w:szCs w:val="20"/>
              </w:rPr>
            </w:pPr>
          </w:p>
          <w:p w:rsidR="00AE0B32" w:rsidRDefault="00AE0B32" w:rsidP="000217CE">
            <w:pPr>
              <w:spacing w:before="120" w:after="120"/>
              <w:rPr>
                <w:rFonts w:ascii="Georgia" w:hAnsi="Georgia"/>
                <w:sz w:val="20"/>
                <w:szCs w:val="20"/>
              </w:rPr>
            </w:pPr>
          </w:p>
          <w:p w:rsidR="00D15167" w:rsidRPr="000217CE" w:rsidRDefault="00D15167" w:rsidP="000217CE">
            <w:pPr>
              <w:spacing w:before="120" w:after="120"/>
              <w:rPr>
                <w:rFonts w:ascii="Georgia" w:hAnsi="Georgia"/>
                <w:sz w:val="20"/>
                <w:szCs w:val="20"/>
              </w:rPr>
            </w:pPr>
            <w:r>
              <w:rPr>
                <w:rFonts w:ascii="Georgia" w:hAnsi="Georgia"/>
                <w:sz w:val="20"/>
                <w:szCs w:val="20"/>
              </w:rPr>
              <w:t>Clarification is requested on whether such assistance is required in addition to the 3 months periods (beyond the six months period) mentioned in clause 3.2 of the RFP.</w:t>
            </w:r>
          </w:p>
        </w:tc>
        <w:tc>
          <w:tcPr>
            <w:tcW w:w="3402" w:type="dxa"/>
          </w:tcPr>
          <w:p w:rsidR="00D15167" w:rsidRPr="00D203BC" w:rsidRDefault="00441E8E" w:rsidP="000F3C50">
            <w:pPr>
              <w:spacing w:before="120" w:after="120"/>
              <w:rPr>
                <w:rFonts w:ascii="Georgia" w:hAnsi="Georgia"/>
                <w:b/>
                <w:szCs w:val="20"/>
              </w:rPr>
            </w:pPr>
            <w:r w:rsidRPr="00D203BC">
              <w:rPr>
                <w:rFonts w:ascii="Georgia" w:hAnsi="Georgia"/>
                <w:b/>
                <w:szCs w:val="20"/>
              </w:rPr>
              <w:t>This refers to all applicants within the first batch.</w:t>
            </w:r>
          </w:p>
          <w:p w:rsidR="00441E8E" w:rsidRPr="00D203BC" w:rsidRDefault="00441E8E" w:rsidP="000F3C50">
            <w:pPr>
              <w:spacing w:before="120" w:after="120"/>
              <w:rPr>
                <w:rFonts w:ascii="Georgia" w:hAnsi="Georgia"/>
                <w:b/>
                <w:szCs w:val="20"/>
              </w:rPr>
            </w:pPr>
          </w:p>
          <w:p w:rsidR="00441E8E" w:rsidRPr="00D203BC" w:rsidRDefault="00441E8E" w:rsidP="000F3C50">
            <w:pPr>
              <w:spacing w:before="120" w:after="120"/>
              <w:rPr>
                <w:rFonts w:ascii="Georgia" w:hAnsi="Georgia"/>
                <w:b/>
                <w:szCs w:val="20"/>
              </w:rPr>
            </w:pPr>
          </w:p>
          <w:p w:rsidR="00441E8E" w:rsidRPr="00D203BC" w:rsidRDefault="00441E8E" w:rsidP="000F3C50">
            <w:pPr>
              <w:spacing w:before="120" w:after="120"/>
              <w:rPr>
                <w:rFonts w:ascii="Georgia" w:hAnsi="Georgia"/>
                <w:b/>
                <w:szCs w:val="20"/>
              </w:rPr>
            </w:pPr>
          </w:p>
          <w:p w:rsidR="00441E8E" w:rsidRPr="00D203BC" w:rsidRDefault="00441E8E" w:rsidP="000F3C50">
            <w:pPr>
              <w:spacing w:before="120" w:after="120"/>
              <w:rPr>
                <w:rFonts w:ascii="Georgia" w:hAnsi="Georgia"/>
                <w:b/>
                <w:szCs w:val="20"/>
              </w:rPr>
            </w:pPr>
          </w:p>
          <w:p w:rsidR="00441E8E" w:rsidRPr="00D203BC" w:rsidRDefault="00441E8E" w:rsidP="000F3C50">
            <w:pPr>
              <w:spacing w:before="120" w:after="120"/>
              <w:rPr>
                <w:rFonts w:ascii="Georgia" w:hAnsi="Georgia"/>
                <w:b/>
                <w:szCs w:val="20"/>
              </w:rPr>
            </w:pPr>
            <w:r w:rsidRPr="00D203BC">
              <w:rPr>
                <w:rFonts w:ascii="Georgia" w:hAnsi="Georgia"/>
                <w:b/>
                <w:szCs w:val="20"/>
              </w:rPr>
              <w:t xml:space="preserve">Enabling regulations may result in higher numbers. </w:t>
            </w:r>
          </w:p>
          <w:p w:rsidR="00441E8E" w:rsidRPr="00D203BC" w:rsidRDefault="00441E8E" w:rsidP="000F3C50">
            <w:pPr>
              <w:spacing w:before="120" w:after="120"/>
              <w:rPr>
                <w:rFonts w:ascii="Georgia" w:hAnsi="Georgia"/>
                <w:b/>
                <w:szCs w:val="20"/>
              </w:rPr>
            </w:pPr>
          </w:p>
          <w:p w:rsidR="00AE0B32" w:rsidRPr="00D203BC" w:rsidRDefault="00AE0B32" w:rsidP="000F3C50">
            <w:pPr>
              <w:spacing w:before="120" w:after="120"/>
              <w:rPr>
                <w:rFonts w:ascii="Georgia" w:hAnsi="Georgia"/>
                <w:b/>
                <w:sz w:val="32"/>
                <w:szCs w:val="20"/>
              </w:rPr>
            </w:pPr>
          </w:p>
          <w:p w:rsidR="00441E8E" w:rsidRPr="00D203BC" w:rsidRDefault="003B15F5" w:rsidP="000F3C50">
            <w:pPr>
              <w:spacing w:before="120" w:after="120"/>
              <w:rPr>
                <w:rFonts w:ascii="Georgia" w:hAnsi="Georgia"/>
                <w:b/>
                <w:szCs w:val="20"/>
              </w:rPr>
            </w:pPr>
            <w:r w:rsidRPr="00D203BC">
              <w:rPr>
                <w:rFonts w:ascii="Georgia" w:hAnsi="Georgia"/>
                <w:b/>
                <w:szCs w:val="20"/>
              </w:rPr>
              <w:t xml:space="preserve">It is anticipated that this assistance will fall within estimated time lines of this assignment. </w:t>
            </w:r>
            <w:r w:rsidR="00441E8E" w:rsidRPr="00D203BC">
              <w:rPr>
                <w:rFonts w:ascii="Georgia" w:hAnsi="Georgia"/>
                <w:b/>
                <w:szCs w:val="20"/>
              </w:rPr>
              <w:t xml:space="preserve">Please note that </w:t>
            </w:r>
            <w:r w:rsidRPr="00D203BC">
              <w:rPr>
                <w:rFonts w:ascii="Georgia" w:hAnsi="Georgia"/>
                <w:b/>
                <w:szCs w:val="20"/>
              </w:rPr>
              <w:t>timeline of 3 months</w:t>
            </w:r>
            <w:r w:rsidR="00441E8E" w:rsidRPr="00D203BC">
              <w:rPr>
                <w:rFonts w:ascii="Georgia" w:hAnsi="Georgia"/>
                <w:b/>
                <w:szCs w:val="20"/>
              </w:rPr>
              <w:t xml:space="preserve"> </w:t>
            </w:r>
            <w:r w:rsidRPr="00D203BC">
              <w:rPr>
                <w:rFonts w:ascii="Georgia" w:hAnsi="Georgia"/>
                <w:b/>
                <w:szCs w:val="20"/>
              </w:rPr>
              <w:t xml:space="preserve">is </w:t>
            </w:r>
            <w:r w:rsidR="00441E8E" w:rsidRPr="00D203BC">
              <w:rPr>
                <w:rFonts w:ascii="Georgia" w:hAnsi="Georgia"/>
                <w:b/>
                <w:szCs w:val="20"/>
              </w:rPr>
              <w:t xml:space="preserve">based on execution of </w:t>
            </w:r>
            <w:r w:rsidRPr="00D203BC">
              <w:rPr>
                <w:rFonts w:ascii="Georgia" w:hAnsi="Georgia"/>
                <w:b/>
                <w:szCs w:val="20"/>
              </w:rPr>
              <w:t>earlier</w:t>
            </w:r>
            <w:r w:rsidR="00441E8E" w:rsidRPr="00D203BC">
              <w:rPr>
                <w:rFonts w:ascii="Georgia" w:hAnsi="Georgia"/>
                <w:b/>
                <w:szCs w:val="20"/>
              </w:rPr>
              <w:t xml:space="preserve"> deliverables. </w:t>
            </w:r>
          </w:p>
        </w:tc>
      </w:tr>
      <w:tr w:rsidR="00D15167" w:rsidTr="000B00D1">
        <w:tc>
          <w:tcPr>
            <w:tcW w:w="804" w:type="dxa"/>
          </w:tcPr>
          <w:p w:rsidR="00D15167" w:rsidRDefault="00D15167" w:rsidP="00F147D4">
            <w:pPr>
              <w:spacing w:before="120" w:after="120"/>
              <w:jc w:val="center"/>
              <w:rPr>
                <w:rFonts w:ascii="Georgia" w:hAnsi="Georgia"/>
                <w:sz w:val="20"/>
                <w:szCs w:val="20"/>
              </w:rPr>
            </w:pPr>
            <w:r>
              <w:rPr>
                <w:rFonts w:ascii="Georgia" w:hAnsi="Georgia"/>
                <w:sz w:val="20"/>
                <w:szCs w:val="20"/>
              </w:rPr>
              <w:t>13</w:t>
            </w:r>
          </w:p>
        </w:tc>
        <w:tc>
          <w:tcPr>
            <w:tcW w:w="1975" w:type="dxa"/>
          </w:tcPr>
          <w:p w:rsidR="00D15167" w:rsidRDefault="00D15167" w:rsidP="00F147D4">
            <w:pPr>
              <w:spacing w:before="120" w:after="120"/>
              <w:rPr>
                <w:rFonts w:ascii="Georgia" w:hAnsi="Georgia"/>
                <w:sz w:val="20"/>
                <w:szCs w:val="20"/>
              </w:rPr>
            </w:pPr>
            <w:r>
              <w:rPr>
                <w:rFonts w:ascii="Georgia" w:hAnsi="Georgia"/>
                <w:sz w:val="20"/>
                <w:szCs w:val="20"/>
              </w:rPr>
              <w:t>Section 4, Terms of Reference, Qualifications</w:t>
            </w:r>
          </w:p>
        </w:tc>
        <w:tc>
          <w:tcPr>
            <w:tcW w:w="3169" w:type="dxa"/>
          </w:tcPr>
          <w:p w:rsidR="00D15167" w:rsidRPr="00C62B1D" w:rsidRDefault="00D15167" w:rsidP="00F147D4">
            <w:pPr>
              <w:spacing w:before="120" w:after="120"/>
              <w:rPr>
                <w:rFonts w:ascii="Georgia" w:hAnsi="Georgia"/>
                <w:sz w:val="20"/>
                <w:szCs w:val="20"/>
                <w:lang w:val="en-GB"/>
              </w:rPr>
            </w:pPr>
            <w:r w:rsidRPr="00C62B1D">
              <w:rPr>
                <w:rFonts w:ascii="Georgia" w:hAnsi="Georgia"/>
                <w:sz w:val="20"/>
                <w:szCs w:val="20"/>
                <w:lang w:val="en-GB"/>
              </w:rPr>
              <w:t>4.1</w:t>
            </w:r>
            <w:r w:rsidRPr="00C62B1D">
              <w:rPr>
                <w:rFonts w:ascii="Georgia" w:hAnsi="Georgia"/>
                <w:sz w:val="20"/>
                <w:szCs w:val="20"/>
                <w:lang w:val="en-GB"/>
              </w:rPr>
              <w:tab/>
              <w:t xml:space="preserve">Proven expertise in the formulation of regulatory frameworks in collaboration with the Central Banks or relevant Policy makers. Proven experience in providing services of a similar nature in a range of </w:t>
            </w:r>
            <w:r w:rsidRPr="00C62B1D">
              <w:rPr>
                <w:rFonts w:ascii="Georgia" w:hAnsi="Georgia"/>
                <w:sz w:val="20"/>
                <w:szCs w:val="20"/>
                <w:lang w:val="en-GB"/>
              </w:rPr>
              <w:lastRenderedPageBreak/>
              <w:t>different regions of the world, preferably in UK.</w:t>
            </w:r>
          </w:p>
          <w:p w:rsidR="00D15167" w:rsidRPr="00C62B1D" w:rsidRDefault="00D15167" w:rsidP="00F147D4">
            <w:pPr>
              <w:spacing w:before="120" w:after="120"/>
              <w:rPr>
                <w:rFonts w:ascii="Georgia" w:hAnsi="Georgia"/>
                <w:sz w:val="20"/>
                <w:szCs w:val="20"/>
                <w:lang w:val="en-GB"/>
              </w:rPr>
            </w:pPr>
            <w:r w:rsidRPr="00C62B1D">
              <w:rPr>
                <w:rFonts w:ascii="Georgia" w:hAnsi="Georgia"/>
                <w:sz w:val="20"/>
                <w:szCs w:val="20"/>
                <w:lang w:val="en-GB"/>
              </w:rPr>
              <w:t>4.2.</w:t>
            </w:r>
            <w:r w:rsidRPr="00C62B1D">
              <w:rPr>
                <w:rFonts w:ascii="Georgia" w:hAnsi="Georgia"/>
                <w:sz w:val="20"/>
                <w:szCs w:val="20"/>
                <w:lang w:val="en-GB"/>
              </w:rPr>
              <w:tab/>
              <w:t>Strong knowledge of Digital Banks, their operations, risks associated with them and regulatory international best practices around different jurisdictions, especially in UK. Knowledge of/direct experience of formulating regulatory regimes for Digital Banks will be highly preferred.</w:t>
            </w:r>
          </w:p>
          <w:p w:rsidR="00D15167" w:rsidRPr="00D14DDF" w:rsidRDefault="00D15167" w:rsidP="00F147D4">
            <w:pPr>
              <w:spacing w:before="120" w:after="120"/>
              <w:rPr>
                <w:rFonts w:ascii="Georgia" w:hAnsi="Georgia"/>
                <w:sz w:val="20"/>
                <w:szCs w:val="20"/>
              </w:rPr>
            </w:pPr>
            <w:r w:rsidRPr="00C62B1D">
              <w:rPr>
                <w:rFonts w:ascii="Georgia" w:hAnsi="Georgia"/>
                <w:sz w:val="20"/>
                <w:szCs w:val="20"/>
                <w:lang w:val="en-GB"/>
              </w:rPr>
              <w:t>4.6</w:t>
            </w:r>
            <w:r w:rsidRPr="00C62B1D">
              <w:rPr>
                <w:rFonts w:ascii="Georgia" w:hAnsi="Georgia"/>
                <w:sz w:val="20"/>
                <w:szCs w:val="20"/>
                <w:lang w:val="en-GB"/>
              </w:rPr>
              <w:tab/>
              <w:t>Thorough understanding of the working and different working models of Digital Banks around the globe, especially in UK.</w:t>
            </w:r>
          </w:p>
        </w:tc>
        <w:tc>
          <w:tcPr>
            <w:tcW w:w="3402" w:type="dxa"/>
          </w:tcPr>
          <w:p w:rsidR="00D15167" w:rsidRPr="00F147D4" w:rsidRDefault="00D15167" w:rsidP="00F147D4">
            <w:pPr>
              <w:spacing w:before="120" w:after="120"/>
              <w:rPr>
                <w:rFonts w:ascii="Georgia" w:hAnsi="Georgia"/>
                <w:sz w:val="20"/>
                <w:szCs w:val="20"/>
              </w:rPr>
            </w:pPr>
            <w:r w:rsidRPr="00F147D4">
              <w:rPr>
                <w:rFonts w:ascii="Georgia" w:hAnsi="Georgia"/>
                <w:sz w:val="20"/>
                <w:szCs w:val="20"/>
              </w:rPr>
              <w:lastRenderedPageBreak/>
              <w:t>Considering the leading digital banking capabilities in certain EU countries, providing replicated models across the region, will the knowledge and experience preferences be flexible to include the same?</w:t>
            </w:r>
          </w:p>
          <w:p w:rsidR="00D15167" w:rsidRPr="000F3C50" w:rsidRDefault="00D15167" w:rsidP="00F147D4">
            <w:pPr>
              <w:spacing w:before="120" w:after="120"/>
              <w:rPr>
                <w:rFonts w:ascii="Georgia" w:hAnsi="Georgia"/>
                <w:sz w:val="20"/>
                <w:szCs w:val="20"/>
              </w:rPr>
            </w:pPr>
          </w:p>
        </w:tc>
        <w:tc>
          <w:tcPr>
            <w:tcW w:w="3402" w:type="dxa"/>
          </w:tcPr>
          <w:p w:rsidR="007E59E4" w:rsidRPr="00D203BC" w:rsidRDefault="00441E8E" w:rsidP="007E59E4">
            <w:pPr>
              <w:spacing w:before="120" w:after="120"/>
              <w:rPr>
                <w:rFonts w:ascii="Georgia" w:hAnsi="Georgia"/>
                <w:b/>
                <w:szCs w:val="20"/>
              </w:rPr>
            </w:pPr>
            <w:r w:rsidRPr="00D203BC">
              <w:rPr>
                <w:rFonts w:ascii="Georgia" w:hAnsi="Georgia"/>
                <w:b/>
                <w:szCs w:val="20"/>
              </w:rPr>
              <w:lastRenderedPageBreak/>
              <w:t xml:space="preserve">Yes. </w:t>
            </w:r>
            <w:r w:rsidR="00762816" w:rsidRPr="00D203BC">
              <w:rPr>
                <w:rFonts w:ascii="Georgia" w:hAnsi="Georgia"/>
                <w:b/>
                <w:szCs w:val="20"/>
              </w:rPr>
              <w:t>Experience with digital banking regulations in multiple jurisdictions is acceptable.</w:t>
            </w:r>
          </w:p>
          <w:p w:rsidR="00D15167" w:rsidRPr="00D203BC" w:rsidRDefault="00D15167" w:rsidP="00F147D4">
            <w:pPr>
              <w:spacing w:before="120" w:after="120"/>
              <w:rPr>
                <w:rFonts w:ascii="Georgia" w:hAnsi="Georgia"/>
                <w:b/>
                <w:szCs w:val="20"/>
              </w:rPr>
            </w:pPr>
          </w:p>
        </w:tc>
      </w:tr>
      <w:tr w:rsidR="00D15167" w:rsidTr="00D203BC">
        <w:tc>
          <w:tcPr>
            <w:tcW w:w="804" w:type="dxa"/>
          </w:tcPr>
          <w:p w:rsidR="00D15167" w:rsidRDefault="00D15167" w:rsidP="00F147D4">
            <w:pPr>
              <w:spacing w:before="120" w:after="120"/>
              <w:jc w:val="center"/>
              <w:rPr>
                <w:rFonts w:ascii="Georgia" w:hAnsi="Georgia"/>
                <w:sz w:val="20"/>
                <w:szCs w:val="20"/>
              </w:rPr>
            </w:pPr>
            <w:r>
              <w:rPr>
                <w:rFonts w:ascii="Georgia" w:hAnsi="Georgia"/>
                <w:sz w:val="20"/>
                <w:szCs w:val="20"/>
              </w:rPr>
              <w:t>14</w:t>
            </w:r>
          </w:p>
        </w:tc>
        <w:tc>
          <w:tcPr>
            <w:tcW w:w="1975" w:type="dxa"/>
          </w:tcPr>
          <w:p w:rsidR="00D15167" w:rsidRDefault="00D15167" w:rsidP="00F147D4">
            <w:pPr>
              <w:spacing w:before="120" w:after="120"/>
              <w:rPr>
                <w:rFonts w:ascii="Georgia" w:hAnsi="Georgia"/>
                <w:sz w:val="20"/>
                <w:szCs w:val="20"/>
              </w:rPr>
            </w:pPr>
            <w:r>
              <w:rPr>
                <w:rFonts w:ascii="Georgia" w:hAnsi="Georgia"/>
                <w:sz w:val="20"/>
                <w:szCs w:val="20"/>
              </w:rPr>
              <w:t>Section 1: Letter of Invitation</w:t>
            </w:r>
          </w:p>
        </w:tc>
        <w:tc>
          <w:tcPr>
            <w:tcW w:w="3169" w:type="dxa"/>
          </w:tcPr>
          <w:p w:rsidR="00D15167" w:rsidRPr="00B24EB5" w:rsidRDefault="00D15167" w:rsidP="00F147D4">
            <w:pPr>
              <w:spacing w:before="120" w:after="120"/>
              <w:rPr>
                <w:rFonts w:ascii="Georgia" w:hAnsi="Georgia"/>
                <w:sz w:val="20"/>
                <w:szCs w:val="20"/>
              </w:rPr>
            </w:pPr>
            <w:r w:rsidRPr="00D14DDF">
              <w:rPr>
                <w:rFonts w:ascii="Georgia" w:hAnsi="Georgia"/>
                <w:sz w:val="20"/>
                <w:szCs w:val="20"/>
              </w:rPr>
              <w:t>Both financial and technical proposals must be submitted before close of Business on 31st October, 2018.</w:t>
            </w:r>
            <w:r>
              <w:rPr>
                <w:rFonts w:ascii="Georgia" w:hAnsi="Georgia"/>
                <w:sz w:val="20"/>
                <w:szCs w:val="20"/>
              </w:rPr>
              <w:t xml:space="preserve"> </w:t>
            </w:r>
            <w:r w:rsidRPr="00D14DDF">
              <w:rPr>
                <w:rFonts w:ascii="Georgia" w:hAnsi="Georgia"/>
                <w:sz w:val="20"/>
                <w:szCs w:val="20"/>
              </w:rPr>
              <w:t>Offerors must prepare four hard copies of the technical proposal and one hard copy of the cost proposals, and submit in separate sealed envelopes to the attention of ‘The Procurement Department’ 1-E, Ali Plaza, D Chowk, Mezzanine Floor, Naziumudin Road, Blue Area, Islamabad, Pakistan. The proposal should also be sent to the following email address: procurement@karandaaz.com.pk</w:t>
            </w:r>
          </w:p>
        </w:tc>
        <w:tc>
          <w:tcPr>
            <w:tcW w:w="3402" w:type="dxa"/>
          </w:tcPr>
          <w:p w:rsidR="00D15167" w:rsidRDefault="00D15167" w:rsidP="00F147D4">
            <w:pPr>
              <w:spacing w:before="120" w:after="120"/>
              <w:rPr>
                <w:rFonts w:ascii="Georgia" w:hAnsi="Georgia"/>
                <w:sz w:val="20"/>
                <w:szCs w:val="20"/>
              </w:rPr>
            </w:pPr>
            <w:r>
              <w:rPr>
                <w:rFonts w:ascii="Georgia" w:hAnsi="Georgia"/>
                <w:sz w:val="20"/>
                <w:szCs w:val="20"/>
              </w:rPr>
              <w:t>Would it be possible for the technical and financial proposals to be emailed by close of business October 31, 2018 but for the hard copies to be received within two working days from October 31, 2018?</w:t>
            </w:r>
          </w:p>
          <w:p w:rsidR="00D15167" w:rsidRDefault="00D15167" w:rsidP="00F147D4">
            <w:pPr>
              <w:spacing w:before="120" w:after="120"/>
              <w:rPr>
                <w:rFonts w:ascii="Georgia" w:hAnsi="Georgia"/>
                <w:sz w:val="20"/>
                <w:szCs w:val="20"/>
              </w:rPr>
            </w:pPr>
          </w:p>
          <w:p w:rsidR="00D15167" w:rsidRDefault="00D15167" w:rsidP="00F147D4">
            <w:pPr>
              <w:spacing w:before="120" w:after="120"/>
              <w:rPr>
                <w:rFonts w:ascii="Georgia" w:hAnsi="Georgia"/>
                <w:sz w:val="20"/>
                <w:szCs w:val="20"/>
              </w:rPr>
            </w:pPr>
          </w:p>
        </w:tc>
        <w:tc>
          <w:tcPr>
            <w:tcW w:w="3402" w:type="dxa"/>
            <w:shd w:val="clear" w:color="auto" w:fill="FFFFFF" w:themeFill="background1"/>
          </w:tcPr>
          <w:p w:rsidR="00D15167" w:rsidRPr="00D203BC" w:rsidRDefault="00D203BC" w:rsidP="00F147D4">
            <w:pPr>
              <w:spacing w:before="120" w:after="120"/>
              <w:rPr>
                <w:rFonts w:ascii="Georgia" w:hAnsi="Georgia"/>
                <w:b/>
                <w:szCs w:val="20"/>
              </w:rPr>
            </w:pPr>
            <w:r>
              <w:rPr>
                <w:rFonts w:ascii="Georgia" w:hAnsi="Georgia"/>
                <w:b/>
                <w:szCs w:val="20"/>
              </w:rPr>
              <w:t>YES.</w:t>
            </w:r>
          </w:p>
        </w:tc>
      </w:tr>
    </w:tbl>
    <w:p w:rsidR="000D6D83" w:rsidRDefault="000D6D83" w:rsidP="000D6D83">
      <w:pPr>
        <w:spacing w:before="160"/>
        <w:jc w:val="both"/>
        <w:rPr>
          <w:rFonts w:ascii="Georgia" w:hAnsi="Georgia"/>
          <w:sz w:val="20"/>
          <w:szCs w:val="20"/>
        </w:rPr>
      </w:pPr>
    </w:p>
    <w:p w:rsidR="00D203BC" w:rsidRPr="00D203BC" w:rsidRDefault="00D203BC" w:rsidP="000D6D83">
      <w:pPr>
        <w:spacing w:before="160"/>
        <w:jc w:val="both"/>
        <w:rPr>
          <w:rFonts w:ascii="Georgia" w:hAnsi="Georgia"/>
          <w:b/>
          <w:sz w:val="32"/>
          <w:szCs w:val="32"/>
        </w:rPr>
      </w:pPr>
      <w:r w:rsidRPr="00D203BC">
        <w:rPr>
          <w:rFonts w:ascii="Georgia" w:hAnsi="Georgia"/>
          <w:b/>
          <w:sz w:val="32"/>
          <w:szCs w:val="32"/>
        </w:rPr>
        <w:lastRenderedPageBreak/>
        <w:t>Additional Queries:</w:t>
      </w:r>
    </w:p>
    <w:p w:rsidR="00D203BC" w:rsidRDefault="00D203BC" w:rsidP="000D6D83">
      <w:pPr>
        <w:spacing w:before="160"/>
        <w:jc w:val="both"/>
        <w:rPr>
          <w:rFonts w:ascii="Georgia" w:hAnsi="Georgia"/>
          <w:sz w:val="20"/>
          <w:szCs w:val="20"/>
        </w:rPr>
      </w:pPr>
    </w:p>
    <w:p w:rsidR="00D203BC" w:rsidRDefault="00D203BC" w:rsidP="00D203BC">
      <w:pPr>
        <w:pStyle w:val="m-6801995640742592930m-6737956037945102013msolistparagraph"/>
        <w:numPr>
          <w:ilvl w:val="0"/>
          <w:numId w:val="8"/>
        </w:numPr>
        <w:shd w:val="clear" w:color="auto" w:fill="FFFFFF"/>
        <w:spacing w:line="293" w:lineRule="atLeast"/>
        <w:rPr>
          <w:rFonts w:ascii="Arial" w:hAnsi="Arial" w:cs="Arial"/>
          <w:color w:val="333333"/>
        </w:rPr>
      </w:pPr>
      <w:r>
        <w:rPr>
          <w:rFonts w:ascii="Arial" w:hAnsi="Arial" w:cs="Arial"/>
          <w:color w:val="333333"/>
        </w:rPr>
        <w:t>Will it be acceptable to e-mail copies of the response on Oct 31 with hard copies (Date and time stamped) by courier?</w:t>
      </w:r>
    </w:p>
    <w:p w:rsidR="00D203BC" w:rsidRPr="00D203BC" w:rsidRDefault="00D203BC" w:rsidP="00D203BC">
      <w:pPr>
        <w:pStyle w:val="m-6801995640742592930m-6737956037945102013msolistparagraph"/>
        <w:shd w:val="clear" w:color="auto" w:fill="FFFFFF"/>
        <w:spacing w:line="293" w:lineRule="atLeast"/>
        <w:ind w:left="1905"/>
        <w:rPr>
          <w:rFonts w:ascii="Arial" w:hAnsi="Arial" w:cs="Arial"/>
          <w:b/>
          <w:color w:val="222222"/>
        </w:rPr>
      </w:pPr>
      <w:r>
        <w:rPr>
          <w:rFonts w:ascii="Arial" w:hAnsi="Arial" w:cs="Arial"/>
          <w:b/>
          <w:color w:val="222222"/>
        </w:rPr>
        <w:t>YES.</w:t>
      </w:r>
    </w:p>
    <w:p w:rsidR="00D203BC" w:rsidRDefault="00D203BC" w:rsidP="00D203BC">
      <w:pPr>
        <w:pStyle w:val="m-6801995640742592930m-6737956037945102013msolistparagraph"/>
        <w:numPr>
          <w:ilvl w:val="0"/>
          <w:numId w:val="8"/>
        </w:numPr>
        <w:shd w:val="clear" w:color="auto" w:fill="FFFFFF"/>
        <w:spacing w:line="293" w:lineRule="atLeast"/>
        <w:rPr>
          <w:rFonts w:ascii="Arial" w:hAnsi="Arial" w:cs="Arial"/>
          <w:color w:val="333333"/>
        </w:rPr>
      </w:pPr>
      <w:r>
        <w:rPr>
          <w:rFonts w:ascii="Arial" w:hAnsi="Arial" w:cs="Arial"/>
          <w:color w:val="333333"/>
        </w:rPr>
        <w:t>Will there be notification from Karandaaz if there is any delay beyond the stated timeline for assessment and award of the contract?</w:t>
      </w:r>
    </w:p>
    <w:p w:rsidR="00D203BC" w:rsidRPr="00D203BC" w:rsidRDefault="00D203BC" w:rsidP="00D203BC">
      <w:pPr>
        <w:pStyle w:val="m-6801995640742592930m-6737956037945102013msolistparagraph"/>
        <w:shd w:val="clear" w:color="auto" w:fill="FFFFFF"/>
        <w:spacing w:line="293" w:lineRule="atLeast"/>
        <w:ind w:left="1905"/>
        <w:rPr>
          <w:rFonts w:ascii="Arial" w:hAnsi="Arial" w:cs="Arial"/>
          <w:b/>
          <w:color w:val="333333"/>
        </w:rPr>
      </w:pPr>
      <w:r w:rsidRPr="00D203BC">
        <w:rPr>
          <w:rFonts w:ascii="Arial" w:hAnsi="Arial" w:cs="Arial"/>
          <w:b/>
          <w:color w:val="333333"/>
        </w:rPr>
        <w:t>YES.</w:t>
      </w:r>
    </w:p>
    <w:p w:rsidR="00D203BC" w:rsidRDefault="00D203BC" w:rsidP="00D203BC">
      <w:pPr>
        <w:pStyle w:val="m-6801995640742592930m-6737956037945102013msolistparagraph"/>
        <w:numPr>
          <w:ilvl w:val="0"/>
          <w:numId w:val="8"/>
        </w:numPr>
        <w:shd w:val="clear" w:color="auto" w:fill="FFFFFF"/>
        <w:spacing w:line="293" w:lineRule="atLeast"/>
        <w:rPr>
          <w:rFonts w:ascii="Arial" w:hAnsi="Arial" w:cs="Arial"/>
          <w:color w:val="333333"/>
        </w:rPr>
      </w:pPr>
      <w:r>
        <w:rPr>
          <w:rFonts w:ascii="Arial" w:hAnsi="Arial" w:cs="Arial"/>
          <w:color w:val="333333"/>
        </w:rPr>
        <w:t>Please clarify</w:t>
      </w:r>
      <w:r>
        <w:rPr>
          <w:rFonts w:ascii="Arial" w:hAnsi="Arial" w:cs="Arial"/>
          <w:color w:val="333333"/>
        </w:rPr>
        <w:t xml:space="preserve"> “As required Karandaaz Pakistan can split the order.”</w:t>
      </w:r>
    </w:p>
    <w:p w:rsidR="00432AEF" w:rsidRPr="00432AEF" w:rsidRDefault="00432AEF" w:rsidP="00432AEF">
      <w:pPr>
        <w:pStyle w:val="m-6801995640742592930m-6737956037945102013msolistparagraph"/>
        <w:shd w:val="clear" w:color="auto" w:fill="FFFFFF"/>
        <w:spacing w:line="293" w:lineRule="atLeast"/>
        <w:ind w:left="1905"/>
        <w:rPr>
          <w:rFonts w:ascii="Arial" w:hAnsi="Arial" w:cs="Arial"/>
          <w:b/>
          <w:color w:val="333333"/>
        </w:rPr>
      </w:pPr>
      <w:r>
        <w:rPr>
          <w:rFonts w:ascii="Arial" w:hAnsi="Arial" w:cs="Arial"/>
          <w:b/>
          <w:color w:val="333333"/>
        </w:rPr>
        <w:t>Split order is at the sole discretion Karandaaz.</w:t>
      </w:r>
    </w:p>
    <w:p w:rsidR="00D203BC" w:rsidRPr="00D203BC" w:rsidRDefault="00D203BC" w:rsidP="00D203BC">
      <w:pPr>
        <w:pStyle w:val="m-6801995640742592930m-6737956037945102013msolistparagraph"/>
        <w:shd w:val="clear" w:color="auto" w:fill="FFFFFF"/>
        <w:spacing w:line="293" w:lineRule="atLeast"/>
        <w:ind w:left="1905"/>
        <w:rPr>
          <w:rFonts w:ascii="Arial" w:hAnsi="Arial" w:cs="Arial"/>
          <w:b/>
          <w:color w:val="222222"/>
        </w:rPr>
      </w:pPr>
    </w:p>
    <w:p w:rsidR="00D203BC" w:rsidRDefault="00D203BC" w:rsidP="00D203BC">
      <w:pPr>
        <w:pStyle w:val="m-6801995640742592930m-6737956037945102013msolistparagraph"/>
        <w:shd w:val="clear" w:color="auto" w:fill="FFFFFF"/>
        <w:spacing w:line="293" w:lineRule="atLeast"/>
        <w:ind w:left="1080"/>
        <w:rPr>
          <w:rFonts w:ascii="Arial" w:hAnsi="Arial" w:cs="Arial"/>
          <w:color w:val="222222"/>
        </w:rPr>
      </w:pPr>
      <w:r>
        <w:rPr>
          <w:rFonts w:ascii="Arial" w:hAnsi="Arial" w:cs="Arial"/>
          <w:color w:val="333333"/>
        </w:rPr>
        <w:t>4.</w:t>
      </w:r>
      <w:r>
        <w:rPr>
          <w:color w:val="333333"/>
          <w:sz w:val="14"/>
          <w:szCs w:val="14"/>
        </w:rPr>
        <w:t>                  </w:t>
      </w:r>
      <w:r>
        <w:rPr>
          <w:rFonts w:ascii="Arial" w:hAnsi="Arial" w:cs="Arial"/>
          <w:color w:val="333333"/>
        </w:rPr>
        <w:t>Please clarify re Financial Proposal – issues of currency for billing and payment</w:t>
      </w:r>
    </w:p>
    <w:p w:rsidR="00D203BC" w:rsidRDefault="00D203BC" w:rsidP="00D203BC">
      <w:pPr>
        <w:pStyle w:val="m-6801995640742592930m-6737956037945102013msolistparagraph"/>
        <w:numPr>
          <w:ilvl w:val="1"/>
          <w:numId w:val="6"/>
        </w:numPr>
        <w:shd w:val="clear" w:color="auto" w:fill="FFFFFF"/>
        <w:spacing w:line="293" w:lineRule="atLeast"/>
        <w:rPr>
          <w:rFonts w:ascii="Arial" w:hAnsi="Arial" w:cs="Arial"/>
          <w:color w:val="333333"/>
        </w:rPr>
      </w:pPr>
      <w:r>
        <w:rPr>
          <w:rFonts w:ascii="Arial" w:hAnsi="Arial" w:cs="Arial"/>
          <w:i/>
          <w:iCs/>
          <w:color w:val="333333"/>
        </w:rPr>
        <w:t>“Firms may express the price in PKR (Pak Rupees) only. International firms should also specify the applicable dollar exchange rates used to calculate the price in PKR which will be assessed as per point 26.”</w:t>
      </w:r>
    </w:p>
    <w:p w:rsidR="00D203BC" w:rsidRPr="00432AEF" w:rsidRDefault="00D203BC" w:rsidP="00D203BC">
      <w:pPr>
        <w:pStyle w:val="m-6801995640742592930m-6737956037945102013msolistparagraph"/>
        <w:numPr>
          <w:ilvl w:val="1"/>
          <w:numId w:val="6"/>
        </w:numPr>
        <w:shd w:val="clear" w:color="auto" w:fill="FFFFFF"/>
        <w:spacing w:line="293" w:lineRule="atLeast"/>
        <w:rPr>
          <w:rFonts w:ascii="Arial" w:hAnsi="Arial" w:cs="Arial"/>
          <w:color w:val="333333"/>
        </w:rPr>
      </w:pPr>
      <w:r>
        <w:rPr>
          <w:rFonts w:ascii="Arial" w:hAnsi="Arial" w:cs="Arial"/>
          <w:i/>
          <w:iCs/>
          <w:color w:val="333333"/>
        </w:rPr>
        <w:t>Payment will be made in PKR on USD, as agreed, to the account specified in the Contractor’s invoice”</w:t>
      </w:r>
    </w:p>
    <w:p w:rsidR="00432AEF" w:rsidRPr="00432AEF" w:rsidRDefault="00432AEF" w:rsidP="00432AEF">
      <w:pPr>
        <w:pStyle w:val="m-6801995640742592930m-6737956037945102013msolistparagraph"/>
        <w:shd w:val="clear" w:color="auto" w:fill="FFFFFF"/>
        <w:spacing w:line="293" w:lineRule="atLeast"/>
        <w:ind w:left="1440"/>
        <w:rPr>
          <w:rFonts w:ascii="Arial" w:hAnsi="Arial" w:cs="Arial"/>
          <w:b/>
          <w:color w:val="333333"/>
        </w:rPr>
      </w:pPr>
      <w:r>
        <w:rPr>
          <w:rFonts w:ascii="Arial" w:hAnsi="Arial" w:cs="Arial"/>
          <w:b/>
          <w:i/>
          <w:iCs/>
          <w:color w:val="333333"/>
        </w:rPr>
        <w:t>For comparison purposes PKR value shall be considered</w:t>
      </w:r>
      <w:bookmarkStart w:id="0" w:name="_GoBack"/>
      <w:bookmarkEnd w:id="0"/>
      <w:r>
        <w:rPr>
          <w:rFonts w:ascii="Arial" w:hAnsi="Arial" w:cs="Arial"/>
          <w:b/>
          <w:i/>
          <w:iCs/>
          <w:color w:val="333333"/>
        </w:rPr>
        <w:t>, however payments shall be made as specified in contract i.e PKR locally and in USD in case of international account.</w:t>
      </w:r>
    </w:p>
    <w:p w:rsidR="00D203BC" w:rsidRDefault="00D203BC" w:rsidP="00D203BC">
      <w:pPr>
        <w:pStyle w:val="m-6801995640742592930m-6737956037945102013msolistparagraph"/>
        <w:shd w:val="clear" w:color="auto" w:fill="FFFFFF"/>
        <w:spacing w:line="293" w:lineRule="atLeast"/>
        <w:ind w:left="1440"/>
        <w:rPr>
          <w:rFonts w:ascii="Arial" w:hAnsi="Arial" w:cs="Arial"/>
          <w:color w:val="333333"/>
        </w:rPr>
      </w:pPr>
    </w:p>
    <w:p w:rsidR="00D203BC" w:rsidRDefault="00D203BC" w:rsidP="00D203BC">
      <w:pPr>
        <w:pStyle w:val="m-6801995640742592930m-6737956037945102013msolistparagraph"/>
        <w:shd w:val="clear" w:color="auto" w:fill="FFFFFF"/>
        <w:spacing w:line="293" w:lineRule="atLeast"/>
        <w:ind w:left="1080"/>
        <w:rPr>
          <w:rFonts w:ascii="Arial" w:hAnsi="Arial" w:cs="Arial"/>
          <w:color w:val="333333"/>
        </w:rPr>
      </w:pPr>
      <w:r>
        <w:rPr>
          <w:rFonts w:ascii="Arial" w:hAnsi="Arial" w:cs="Arial"/>
          <w:color w:val="333333"/>
        </w:rPr>
        <w:t>5.</w:t>
      </w:r>
      <w:r>
        <w:rPr>
          <w:color w:val="333333"/>
          <w:sz w:val="14"/>
          <w:szCs w:val="14"/>
        </w:rPr>
        <w:t>                  </w:t>
      </w:r>
      <w:r>
        <w:rPr>
          <w:rFonts w:ascii="Arial" w:hAnsi="Arial" w:cs="Arial"/>
          <w:color w:val="333333"/>
        </w:rPr>
        <w:t xml:space="preserve">When do you foresee the technical presentation will take </w:t>
      </w:r>
      <w:r>
        <w:rPr>
          <w:rFonts w:ascii="Arial" w:hAnsi="Arial" w:cs="Arial"/>
          <w:color w:val="333333"/>
        </w:rPr>
        <w:t>place?</w:t>
      </w:r>
      <w:r>
        <w:rPr>
          <w:rFonts w:ascii="Arial" w:hAnsi="Arial" w:cs="Arial"/>
          <w:color w:val="333333"/>
        </w:rPr>
        <w:t> </w:t>
      </w:r>
    </w:p>
    <w:p w:rsidR="00D203BC" w:rsidRPr="00B3527C" w:rsidRDefault="00D203BC" w:rsidP="00D203BC">
      <w:pPr>
        <w:pStyle w:val="m-6801995640742592930m-6737956037945102013msolistparagraph"/>
        <w:shd w:val="clear" w:color="auto" w:fill="FFFFFF"/>
        <w:spacing w:line="293" w:lineRule="atLeast"/>
        <w:ind w:left="1080"/>
        <w:rPr>
          <w:rFonts w:ascii="Arial" w:hAnsi="Arial" w:cs="Arial"/>
          <w:color w:val="222222"/>
        </w:rPr>
      </w:pPr>
      <w:r>
        <w:rPr>
          <w:rFonts w:ascii="Arial" w:hAnsi="Arial" w:cs="Arial"/>
          <w:b/>
          <w:color w:val="222222"/>
        </w:rPr>
        <w:lastRenderedPageBreak/>
        <w:t xml:space="preserve">            </w:t>
      </w:r>
      <w:r>
        <w:rPr>
          <w:rFonts w:ascii="Arial" w:hAnsi="Arial" w:cs="Arial"/>
          <w:color w:val="222222"/>
        </w:rPr>
        <w:t xml:space="preserve"> </w:t>
      </w:r>
      <w:r w:rsidRPr="00D203BC">
        <w:rPr>
          <w:rFonts w:ascii="Arial" w:hAnsi="Arial" w:cs="Arial"/>
          <w:b/>
          <w:color w:val="222222"/>
        </w:rPr>
        <w:t>2</w:t>
      </w:r>
      <w:r w:rsidRPr="00D203BC">
        <w:rPr>
          <w:rFonts w:ascii="Arial" w:hAnsi="Arial" w:cs="Arial"/>
          <w:b/>
          <w:color w:val="222222"/>
          <w:vertAlign w:val="superscript"/>
        </w:rPr>
        <w:t>nd</w:t>
      </w:r>
      <w:r w:rsidRPr="00D203BC">
        <w:rPr>
          <w:rFonts w:ascii="Arial" w:hAnsi="Arial" w:cs="Arial"/>
          <w:b/>
          <w:color w:val="222222"/>
        </w:rPr>
        <w:t xml:space="preserve"> to 3</w:t>
      </w:r>
      <w:r w:rsidRPr="00D203BC">
        <w:rPr>
          <w:rFonts w:ascii="Arial" w:hAnsi="Arial" w:cs="Arial"/>
          <w:b/>
          <w:color w:val="222222"/>
          <w:vertAlign w:val="superscript"/>
        </w:rPr>
        <w:t>rd</w:t>
      </w:r>
      <w:r w:rsidRPr="00D203BC">
        <w:rPr>
          <w:rFonts w:ascii="Arial" w:hAnsi="Arial" w:cs="Arial"/>
          <w:b/>
          <w:color w:val="222222"/>
        </w:rPr>
        <w:t xml:space="preserve"> week of November, 2018.</w:t>
      </w:r>
    </w:p>
    <w:p w:rsidR="00D203BC" w:rsidRDefault="00D203BC" w:rsidP="00D203BC">
      <w:pPr>
        <w:pStyle w:val="m-6801995640742592930m-6737956037945102013msolistparagraph"/>
        <w:shd w:val="clear" w:color="auto" w:fill="FFFFFF"/>
        <w:spacing w:line="293" w:lineRule="atLeast"/>
        <w:ind w:left="1080"/>
        <w:rPr>
          <w:rFonts w:ascii="Arial" w:hAnsi="Arial" w:cs="Arial"/>
          <w:color w:val="333333"/>
        </w:rPr>
      </w:pPr>
      <w:r>
        <w:rPr>
          <w:rFonts w:ascii="Arial" w:hAnsi="Arial" w:cs="Arial"/>
          <w:color w:val="333333"/>
        </w:rPr>
        <w:t>6.</w:t>
      </w:r>
      <w:r>
        <w:rPr>
          <w:color w:val="333333"/>
          <w:sz w:val="14"/>
          <w:szCs w:val="14"/>
        </w:rPr>
        <w:t>                  </w:t>
      </w:r>
      <w:r>
        <w:rPr>
          <w:rFonts w:ascii="Arial" w:hAnsi="Arial" w:cs="Arial"/>
          <w:color w:val="333333"/>
        </w:rPr>
        <w:t>Licensing 2.3 does “replicable” refer to jurisdictions chosen through the research and GAP analysis?</w:t>
      </w:r>
    </w:p>
    <w:p w:rsidR="00D203BC" w:rsidRPr="00D203BC" w:rsidRDefault="00D203BC" w:rsidP="00D203BC">
      <w:pPr>
        <w:pStyle w:val="m-6801995640742592930m-6737956037945102013msolistparagraph"/>
        <w:shd w:val="clear" w:color="auto" w:fill="FFFFFF"/>
        <w:spacing w:line="293" w:lineRule="atLeast"/>
        <w:ind w:left="1080"/>
        <w:rPr>
          <w:rFonts w:ascii="Arial" w:hAnsi="Arial" w:cs="Arial"/>
          <w:b/>
          <w:color w:val="222222"/>
        </w:rPr>
      </w:pPr>
      <w:r>
        <w:rPr>
          <w:rFonts w:ascii="Arial" w:hAnsi="Arial" w:cs="Arial"/>
          <w:b/>
          <w:color w:val="222222"/>
        </w:rPr>
        <w:t xml:space="preserve">            </w:t>
      </w:r>
      <w:r w:rsidRPr="00D203BC">
        <w:rPr>
          <w:rFonts w:ascii="Arial" w:hAnsi="Arial" w:cs="Arial"/>
          <w:b/>
          <w:color w:val="222222"/>
        </w:rPr>
        <w:t>Yes</w:t>
      </w:r>
    </w:p>
    <w:p w:rsidR="00D203BC" w:rsidRDefault="00D203BC" w:rsidP="00D203BC">
      <w:pPr>
        <w:pStyle w:val="m-6801995640742592930m-6737956037945102013msolistparagraph"/>
        <w:shd w:val="clear" w:color="auto" w:fill="FFFFFF"/>
        <w:spacing w:line="293" w:lineRule="atLeast"/>
        <w:ind w:left="1080"/>
        <w:rPr>
          <w:rFonts w:ascii="Arial" w:hAnsi="Arial" w:cs="Arial"/>
          <w:color w:val="333333"/>
        </w:rPr>
      </w:pPr>
      <w:r>
        <w:rPr>
          <w:rFonts w:ascii="Arial" w:hAnsi="Arial" w:cs="Arial"/>
          <w:color w:val="333333"/>
        </w:rPr>
        <w:t>7.</w:t>
      </w:r>
      <w:r>
        <w:rPr>
          <w:color w:val="333333"/>
          <w:sz w:val="14"/>
          <w:szCs w:val="14"/>
        </w:rPr>
        <w:t>                  </w:t>
      </w:r>
      <w:r>
        <w:rPr>
          <w:rFonts w:ascii="Arial" w:hAnsi="Arial" w:cs="Arial"/>
          <w:color w:val="333333"/>
        </w:rPr>
        <w:t>Please confirm “close of Business on 31</w:t>
      </w:r>
      <w:r w:rsidRPr="00B3527C">
        <w:rPr>
          <w:rFonts w:ascii="Arial" w:hAnsi="Arial" w:cs="Arial"/>
          <w:color w:val="333333"/>
          <w:vertAlign w:val="superscript"/>
        </w:rPr>
        <w:t>st</w:t>
      </w:r>
      <w:r>
        <w:rPr>
          <w:rFonts w:ascii="Arial" w:hAnsi="Arial" w:cs="Arial"/>
          <w:color w:val="333333"/>
        </w:rPr>
        <w:t xml:space="preserve"> October, 2018” is 5 pm Islamabad. </w:t>
      </w:r>
    </w:p>
    <w:p w:rsidR="00D203BC" w:rsidRDefault="00D203BC" w:rsidP="00D203BC">
      <w:pPr>
        <w:pStyle w:val="m-6801995640742592930m-6737956037945102013msolistparagraph"/>
        <w:pBdr>
          <w:bottom w:val="single" w:sz="6" w:space="3" w:color="auto"/>
        </w:pBdr>
        <w:shd w:val="clear" w:color="auto" w:fill="FFFFFF"/>
        <w:spacing w:line="293" w:lineRule="atLeast"/>
        <w:ind w:left="1080"/>
        <w:rPr>
          <w:rFonts w:ascii="Arial" w:hAnsi="Arial" w:cs="Arial"/>
          <w:color w:val="222222"/>
          <w:u w:val="single"/>
        </w:rPr>
      </w:pPr>
      <w:r>
        <w:rPr>
          <w:rFonts w:ascii="Arial" w:hAnsi="Arial" w:cs="Arial"/>
          <w:b/>
          <w:color w:val="222222"/>
        </w:rPr>
        <w:t xml:space="preserve">            </w:t>
      </w:r>
      <w:r>
        <w:rPr>
          <w:rFonts w:ascii="Arial" w:hAnsi="Arial" w:cs="Arial"/>
          <w:color w:val="222222"/>
        </w:rPr>
        <w:t xml:space="preserve"> </w:t>
      </w:r>
      <w:r w:rsidRPr="00D203BC">
        <w:rPr>
          <w:rFonts w:ascii="Arial" w:hAnsi="Arial" w:cs="Arial"/>
          <w:b/>
          <w:color w:val="222222"/>
        </w:rPr>
        <w:t>Yes. Its Pakistan Standard Time.</w:t>
      </w:r>
    </w:p>
    <w:p w:rsidR="00D203BC" w:rsidRDefault="00D203BC" w:rsidP="00D203BC">
      <w:pPr>
        <w:pStyle w:val="m-6855943227171711051m-7907506898560250242msolistparagraph"/>
        <w:numPr>
          <w:ilvl w:val="0"/>
          <w:numId w:val="7"/>
        </w:numPr>
        <w:shd w:val="clear" w:color="auto" w:fill="FFFFFF"/>
        <w:spacing w:before="120" w:beforeAutospacing="0"/>
        <w:jc w:val="both"/>
        <w:rPr>
          <w:rFonts w:ascii="Arial" w:hAnsi="Arial" w:cs="Arial"/>
          <w:color w:val="222222"/>
        </w:rPr>
      </w:pPr>
      <w:r>
        <w:rPr>
          <w:rFonts w:ascii="Arial" w:hAnsi="Arial" w:cs="Arial"/>
          <w:color w:val="222222"/>
        </w:rPr>
        <w:t>The RFP indicates that the selected consultant will be required to undertake extensive industry consultation on expectations. To ascertain scope, please could you provide guidance on how many stakeholders interviews will be required? Will these cover executives from SBP, Karandaaz, Fintech companies, selected commercial banks?</w:t>
      </w:r>
    </w:p>
    <w:p w:rsidR="00D203BC" w:rsidRPr="00D203BC" w:rsidRDefault="00D203BC" w:rsidP="00D203BC">
      <w:pPr>
        <w:pStyle w:val="m-6855943227171711051m-7907506898560250242msolistparagraph"/>
        <w:shd w:val="clear" w:color="auto" w:fill="FFFFFF"/>
        <w:spacing w:before="120" w:beforeAutospacing="0"/>
        <w:ind w:left="720"/>
        <w:jc w:val="both"/>
        <w:rPr>
          <w:rFonts w:ascii="Arial" w:hAnsi="Arial" w:cs="Arial"/>
          <w:b/>
          <w:color w:val="222222"/>
        </w:rPr>
      </w:pPr>
      <w:r w:rsidRPr="00D203BC">
        <w:rPr>
          <w:rFonts w:ascii="Arial" w:hAnsi="Arial" w:cs="Arial"/>
          <w:b/>
          <w:color w:val="222222"/>
        </w:rPr>
        <w:t xml:space="preserve">Please refer to section 11.7.a and ToRs section on Deliverable 2.1 “inception report”. We are expecting that as part of the approach and methodology, the consultant will be proposing the stakeholders and preferred methodology (workshop, meeting, surveys etc.) of consultation activity. Meetings with internal stakeholders at SBP and KRN as well as industry consultations with other regulators, Commercial Banks, Microfinance Banks, Digital Financial Service Providers, PSO/PSPs and Fintechs etc. should be included. </w:t>
      </w:r>
    </w:p>
    <w:p w:rsidR="00D203BC" w:rsidRDefault="00D203BC" w:rsidP="00D203BC">
      <w:pPr>
        <w:pStyle w:val="m-6855943227171711051m-7907506898560250242msolistparagraph"/>
        <w:numPr>
          <w:ilvl w:val="0"/>
          <w:numId w:val="7"/>
        </w:numPr>
        <w:shd w:val="clear" w:color="auto" w:fill="FFFFFF"/>
        <w:spacing w:before="120" w:beforeAutospacing="0"/>
        <w:jc w:val="both"/>
        <w:rPr>
          <w:rFonts w:ascii="Arial" w:hAnsi="Arial" w:cs="Arial"/>
          <w:color w:val="222222"/>
        </w:rPr>
      </w:pPr>
      <w:r>
        <w:rPr>
          <w:rFonts w:ascii="Arial" w:hAnsi="Arial" w:cs="Arial"/>
          <w:color w:val="222222"/>
        </w:rPr>
        <w:t>Which companies will be part of the project steering committee (SBP, Karandaaz, others)?</w:t>
      </w:r>
    </w:p>
    <w:p w:rsidR="00D203BC" w:rsidRPr="00D203BC" w:rsidRDefault="00D203BC" w:rsidP="00D203BC">
      <w:pPr>
        <w:pStyle w:val="m-6855943227171711051m-7907506898560250242msolistparagraph"/>
        <w:shd w:val="clear" w:color="auto" w:fill="FFFFFF"/>
        <w:spacing w:before="120" w:beforeAutospacing="0"/>
        <w:ind w:left="720"/>
        <w:jc w:val="both"/>
        <w:rPr>
          <w:rFonts w:ascii="Arial" w:hAnsi="Arial" w:cs="Arial"/>
          <w:b/>
          <w:color w:val="222222"/>
        </w:rPr>
      </w:pPr>
      <w:r w:rsidRPr="00D203BC">
        <w:rPr>
          <w:rFonts w:ascii="Arial" w:hAnsi="Arial" w:cs="Arial"/>
          <w:b/>
          <w:color w:val="222222"/>
        </w:rPr>
        <w:t xml:space="preserve">Steering Committee will have high-level representation of SBP officials and KRN nominees. </w:t>
      </w:r>
    </w:p>
    <w:p w:rsidR="00D203BC" w:rsidRDefault="00D203BC" w:rsidP="00D203BC">
      <w:pPr>
        <w:pStyle w:val="m-6855943227171711051m-7907506898560250242msolistparagraph"/>
        <w:numPr>
          <w:ilvl w:val="0"/>
          <w:numId w:val="7"/>
        </w:numPr>
        <w:shd w:val="clear" w:color="auto" w:fill="FFFFFF"/>
        <w:spacing w:before="120" w:beforeAutospacing="0"/>
        <w:jc w:val="both"/>
        <w:rPr>
          <w:rFonts w:ascii="Arial" w:hAnsi="Arial" w:cs="Arial"/>
          <w:color w:val="222222"/>
        </w:rPr>
      </w:pPr>
      <w:r>
        <w:rPr>
          <w:rFonts w:ascii="Arial" w:hAnsi="Arial" w:cs="Arial"/>
          <w:color w:val="222222"/>
        </w:rPr>
        <w:t>We understand that the industry consultation will help refine the definition of a “digital bank”. But as a starting point, is it assumed that a Digital Bank will undertake core banking activities such as accept deposits and extend credit (both secured and unsecured)? Or will it only offer digital “transactional” accounts? Will additional financial services products be in scope such as insurance?</w:t>
      </w:r>
    </w:p>
    <w:p w:rsidR="00D203BC" w:rsidRPr="00D203BC" w:rsidRDefault="00D203BC" w:rsidP="00D203BC">
      <w:pPr>
        <w:pStyle w:val="m-6855943227171711051m-7907506898560250242msolistparagraph"/>
        <w:shd w:val="clear" w:color="auto" w:fill="FFFFFF"/>
        <w:spacing w:before="120" w:beforeAutospacing="0"/>
        <w:ind w:left="720"/>
        <w:jc w:val="both"/>
        <w:rPr>
          <w:rFonts w:ascii="Arial" w:hAnsi="Arial" w:cs="Arial"/>
          <w:b/>
          <w:color w:val="222222"/>
        </w:rPr>
      </w:pPr>
      <w:r w:rsidRPr="00D203BC">
        <w:rPr>
          <w:rFonts w:ascii="Arial" w:hAnsi="Arial" w:cs="Arial"/>
          <w:b/>
          <w:color w:val="222222"/>
        </w:rPr>
        <w:t xml:space="preserve">It is NOT limited to Digital Transaction Accounts (DTAs). “The term “Digital Banks” in this RFP is being used to refer to Digital-only Banks/Virtual Banks/Challenger Banks/Neo Banks/online-only banks and other similar types of Banks..” </w:t>
      </w:r>
    </w:p>
    <w:p w:rsidR="00D203BC" w:rsidRPr="00D203BC" w:rsidRDefault="00D203BC" w:rsidP="00D203BC">
      <w:pPr>
        <w:pStyle w:val="m-6855943227171711051m-7907506898560250242msolistparagraph"/>
        <w:shd w:val="clear" w:color="auto" w:fill="FFFFFF"/>
        <w:spacing w:before="120" w:beforeAutospacing="0"/>
        <w:ind w:left="720"/>
        <w:jc w:val="both"/>
        <w:rPr>
          <w:rFonts w:ascii="Arial" w:hAnsi="Arial" w:cs="Arial"/>
          <w:b/>
          <w:color w:val="222222"/>
        </w:rPr>
      </w:pPr>
      <w:r w:rsidRPr="00D203BC">
        <w:rPr>
          <w:rFonts w:ascii="Arial" w:hAnsi="Arial" w:cs="Arial"/>
          <w:b/>
          <w:color w:val="222222"/>
        </w:rPr>
        <w:lastRenderedPageBreak/>
        <w:t>Please refer to Scope of Work – Activity-I. “Detailed assessment report will define digital banks; identify building blocks for Digital Banks including product and services; identify risks to introduce proportionate regulations; and compare different regulations.”</w:t>
      </w:r>
    </w:p>
    <w:p w:rsidR="00D203BC" w:rsidRPr="00D203BC" w:rsidRDefault="00D203BC" w:rsidP="00D203BC">
      <w:pPr>
        <w:pStyle w:val="m-6855943227171711051m-7907506898560250242msolistparagraph"/>
        <w:shd w:val="clear" w:color="auto" w:fill="FFFFFF"/>
        <w:spacing w:before="120" w:beforeAutospacing="0"/>
        <w:ind w:left="720"/>
        <w:jc w:val="both"/>
        <w:rPr>
          <w:rFonts w:ascii="Arial" w:hAnsi="Arial" w:cs="Arial"/>
          <w:b/>
          <w:color w:val="222222"/>
        </w:rPr>
      </w:pPr>
      <w:r w:rsidRPr="00D203BC">
        <w:rPr>
          <w:rFonts w:ascii="Arial" w:hAnsi="Arial" w:cs="Arial"/>
          <w:b/>
          <w:color w:val="222222"/>
        </w:rPr>
        <w:t xml:space="preserve">It is expected that the consultant will facilitate SBP to build a consensus around the definition and building blocks of “digital banks” based on the comparative analysis and stakeholder consultations. </w:t>
      </w:r>
    </w:p>
    <w:p w:rsidR="00D203BC" w:rsidRDefault="00D203BC" w:rsidP="00D203BC">
      <w:pPr>
        <w:pStyle w:val="m-6855943227171711051m-7907506898560250242msolistparagraph"/>
        <w:numPr>
          <w:ilvl w:val="0"/>
          <w:numId w:val="7"/>
        </w:numPr>
        <w:shd w:val="clear" w:color="auto" w:fill="FFFFFF"/>
        <w:spacing w:before="120" w:beforeAutospacing="0"/>
        <w:rPr>
          <w:rFonts w:ascii="Arial" w:hAnsi="Arial" w:cs="Arial"/>
          <w:color w:val="222222"/>
        </w:rPr>
      </w:pPr>
      <w:r>
        <w:rPr>
          <w:rFonts w:ascii="Arial" w:hAnsi="Arial" w:cs="Arial"/>
          <w:color w:val="222222"/>
        </w:rPr>
        <w:t>The comparative analysis to be undertaken will identify “building blocks for Digital Banks including products and services”. Does the scope of the review cover products &amp; services for all types of target customer segments that a Digital Bank could cater to such as under/un-banked individuals, mass market individuals, high net-worth individuals, small and medium sized businesses, large corporations?</w:t>
      </w:r>
    </w:p>
    <w:p w:rsidR="00D203BC" w:rsidRPr="0043404F" w:rsidRDefault="00D203BC" w:rsidP="00D203BC">
      <w:pPr>
        <w:pStyle w:val="m-6855943227171711051m-7907506898560250242msolistparagraph"/>
        <w:shd w:val="clear" w:color="auto" w:fill="FFFFFF"/>
        <w:spacing w:before="120" w:beforeAutospacing="0"/>
        <w:ind w:left="720"/>
        <w:rPr>
          <w:rFonts w:ascii="Arial" w:hAnsi="Arial" w:cs="Arial"/>
          <w:color w:val="222222"/>
          <w:u w:val="single"/>
        </w:rPr>
      </w:pPr>
      <w:r w:rsidRPr="00D203BC">
        <w:rPr>
          <w:rFonts w:ascii="Arial" w:hAnsi="Arial" w:cs="Arial"/>
          <w:b/>
          <w:color w:val="222222"/>
        </w:rPr>
        <w:t>Yes. This may include interalia current best practices of the “Digital Banks” and all allowed product and services in different jurisdictions.</w:t>
      </w:r>
    </w:p>
    <w:p w:rsidR="00D203BC" w:rsidRDefault="00D203BC" w:rsidP="00D203BC">
      <w:pPr>
        <w:pStyle w:val="m-6855943227171711051m-7907506898560250242msolistparagraph"/>
        <w:numPr>
          <w:ilvl w:val="0"/>
          <w:numId w:val="7"/>
        </w:numPr>
        <w:shd w:val="clear" w:color="auto" w:fill="FFFFFF"/>
        <w:spacing w:before="120" w:beforeAutospacing="0"/>
        <w:rPr>
          <w:rFonts w:ascii="Arial" w:hAnsi="Arial" w:cs="Arial"/>
          <w:color w:val="222222"/>
        </w:rPr>
      </w:pPr>
      <w:r>
        <w:rPr>
          <w:rFonts w:ascii="Arial" w:hAnsi="Arial" w:cs="Arial"/>
          <w:color w:val="222222"/>
        </w:rPr>
        <w:t>The RFP suggests UK, Hong Kong, Singapore, and India to be covered in the global scan. Will it be in the consultant’s discretion to propose additional jurisdictions?</w:t>
      </w:r>
    </w:p>
    <w:p w:rsidR="00D203BC" w:rsidRDefault="00D203BC" w:rsidP="00D203BC">
      <w:pPr>
        <w:pStyle w:val="m-6855943227171711051m-7907506898560250242msolistparagraph"/>
        <w:shd w:val="clear" w:color="auto" w:fill="FFFFFF"/>
        <w:spacing w:before="120" w:beforeAutospacing="0"/>
        <w:ind w:left="720"/>
        <w:rPr>
          <w:rFonts w:ascii="Arial" w:hAnsi="Arial" w:cs="Arial"/>
          <w:color w:val="222222"/>
          <w:u w:val="single"/>
        </w:rPr>
      </w:pPr>
      <w:r w:rsidRPr="00D203BC">
        <w:rPr>
          <w:rFonts w:ascii="Arial" w:hAnsi="Arial" w:cs="Arial"/>
          <w:b/>
          <w:color w:val="222222"/>
        </w:rPr>
        <w:t>Yes. Reasons for selection of additional/other countries should be a part of technical Proposal. Please refer to section 11.7.f.</w:t>
      </w:r>
      <w:r>
        <w:rPr>
          <w:rFonts w:ascii="Arial" w:hAnsi="Arial" w:cs="Arial"/>
          <w:color w:val="222222"/>
          <w:u w:val="single"/>
        </w:rPr>
        <w:t xml:space="preserve"> </w:t>
      </w:r>
    </w:p>
    <w:p w:rsidR="00D203BC" w:rsidRDefault="00D203BC" w:rsidP="00D203BC">
      <w:pPr>
        <w:pStyle w:val="m-6855943227171711051m-7907506898560250242msolistparagraph"/>
        <w:numPr>
          <w:ilvl w:val="0"/>
          <w:numId w:val="7"/>
        </w:numPr>
        <w:shd w:val="clear" w:color="auto" w:fill="FFFFFF"/>
        <w:spacing w:before="120" w:beforeAutospacing="0"/>
        <w:rPr>
          <w:rFonts w:ascii="Arial" w:hAnsi="Arial" w:cs="Arial"/>
          <w:color w:val="222222"/>
        </w:rPr>
      </w:pPr>
      <w:r>
        <w:rPr>
          <w:rFonts w:ascii="Arial" w:hAnsi="Arial" w:cs="Arial"/>
          <w:color w:val="222222"/>
        </w:rPr>
        <w:t>To understand the scope of the effort better, what are the expectations in relation to the allocation of time effort / resources (e.g., X% to Activity I: Y% for Activity II…)</w:t>
      </w:r>
    </w:p>
    <w:p w:rsidR="00D203BC" w:rsidRPr="00D203BC" w:rsidRDefault="00D203BC" w:rsidP="00D203BC">
      <w:pPr>
        <w:pStyle w:val="m-6855943227171711051m-7907506898560250242msolistparagraph"/>
        <w:shd w:val="clear" w:color="auto" w:fill="FFFFFF"/>
        <w:spacing w:before="120" w:beforeAutospacing="0"/>
        <w:ind w:left="720"/>
        <w:jc w:val="both"/>
        <w:rPr>
          <w:rFonts w:ascii="Arial" w:hAnsi="Arial" w:cs="Arial"/>
          <w:b/>
          <w:color w:val="222222"/>
        </w:rPr>
      </w:pPr>
      <w:r w:rsidRPr="00D203BC">
        <w:rPr>
          <w:rFonts w:ascii="Arial" w:hAnsi="Arial" w:cs="Arial"/>
          <w:b/>
          <w:color w:val="222222"/>
        </w:rPr>
        <w:t>Please refer to “Deliverables” and expected “Timelines” mentioned in RFP.</w:t>
      </w:r>
    </w:p>
    <w:p w:rsidR="00D203BC" w:rsidRDefault="00D203BC" w:rsidP="00D203BC">
      <w:pPr>
        <w:pStyle w:val="m-6855943227171711051m-7907506898560250242msolistparagraph"/>
        <w:numPr>
          <w:ilvl w:val="0"/>
          <w:numId w:val="7"/>
        </w:numPr>
        <w:shd w:val="clear" w:color="auto" w:fill="FFFFFF"/>
        <w:spacing w:before="120" w:beforeAutospacing="0"/>
        <w:rPr>
          <w:rFonts w:ascii="Arial" w:hAnsi="Arial" w:cs="Arial"/>
          <w:color w:val="222222"/>
        </w:rPr>
      </w:pPr>
      <w:r>
        <w:rPr>
          <w:rFonts w:ascii="Arial" w:hAnsi="Arial" w:cs="Arial"/>
          <w:color w:val="222222"/>
        </w:rPr>
        <w:t>For the gap analysis, will the consultant be expected to have detailed knowledge of the banking and related laws in Pakistan?</w:t>
      </w:r>
    </w:p>
    <w:p w:rsidR="00D203BC" w:rsidRPr="00E1776A" w:rsidRDefault="00D203BC" w:rsidP="00D203BC">
      <w:pPr>
        <w:pStyle w:val="m-6855943227171711051m-7907506898560250242msolistparagraph"/>
        <w:shd w:val="clear" w:color="auto" w:fill="FFFFFF"/>
        <w:spacing w:before="120" w:beforeAutospacing="0"/>
        <w:ind w:left="720"/>
        <w:rPr>
          <w:rFonts w:ascii="Arial" w:hAnsi="Arial" w:cs="Arial"/>
          <w:b/>
          <w:color w:val="222222"/>
        </w:rPr>
      </w:pPr>
      <w:r w:rsidRPr="00D203BC">
        <w:rPr>
          <w:rFonts w:ascii="Arial" w:hAnsi="Arial" w:cs="Arial"/>
          <w:b/>
          <w:color w:val="222222"/>
        </w:rPr>
        <w:t>Yes</w:t>
      </w:r>
      <w:r w:rsidRPr="00A349E0">
        <w:rPr>
          <w:rFonts w:ascii="Arial" w:hAnsi="Arial" w:cs="Arial"/>
          <w:color w:val="222222"/>
          <w:u w:val="single"/>
        </w:rPr>
        <w:t>.</w:t>
      </w:r>
    </w:p>
    <w:p w:rsidR="00D203BC" w:rsidRDefault="00D203BC" w:rsidP="00D203BC">
      <w:pPr>
        <w:pStyle w:val="m-6855943227171711051m-7907506898560250242msolistparagraph"/>
        <w:numPr>
          <w:ilvl w:val="0"/>
          <w:numId w:val="7"/>
        </w:numPr>
        <w:shd w:val="clear" w:color="auto" w:fill="FFFFFF"/>
        <w:spacing w:before="120" w:beforeAutospacing="0"/>
        <w:rPr>
          <w:rFonts w:ascii="Arial" w:hAnsi="Arial" w:cs="Arial"/>
          <w:color w:val="222222"/>
        </w:rPr>
      </w:pPr>
      <w:r>
        <w:rPr>
          <w:rFonts w:ascii="Arial" w:hAnsi="Arial" w:cs="Arial"/>
          <w:color w:val="222222"/>
        </w:rPr>
        <w:t>Will the consultant be required to develop recommendations on the structure of the regulatory organisation for Digital Banks based on international benchmarks / case studies?</w:t>
      </w:r>
    </w:p>
    <w:p w:rsidR="00D203BC" w:rsidRPr="00D203BC" w:rsidRDefault="00D203BC" w:rsidP="00D203BC">
      <w:pPr>
        <w:pStyle w:val="m-6855943227171711051m-7907506898560250242msolistparagraph"/>
        <w:shd w:val="clear" w:color="auto" w:fill="FFFFFF"/>
        <w:spacing w:before="120" w:beforeAutospacing="0"/>
        <w:ind w:left="360"/>
        <w:rPr>
          <w:rFonts w:ascii="Arial" w:hAnsi="Arial" w:cs="Arial"/>
          <w:b/>
          <w:color w:val="222222"/>
        </w:rPr>
      </w:pPr>
      <w:r>
        <w:rPr>
          <w:rFonts w:ascii="Arial" w:hAnsi="Arial" w:cs="Arial"/>
          <w:b/>
          <w:color w:val="222222"/>
        </w:rPr>
        <w:lastRenderedPageBreak/>
        <w:t xml:space="preserve">     </w:t>
      </w:r>
      <w:r w:rsidRPr="00D203BC">
        <w:rPr>
          <w:rFonts w:ascii="Arial" w:hAnsi="Arial" w:cs="Arial"/>
          <w:b/>
          <w:color w:val="222222"/>
        </w:rPr>
        <w:t>Yes. Please refer to “Deliverables”, section 2.5 to 2.7, 2.12 to 2.15.</w:t>
      </w:r>
    </w:p>
    <w:p w:rsidR="00D203BC" w:rsidRDefault="00D203BC" w:rsidP="00D203BC">
      <w:pPr>
        <w:pStyle w:val="m-6855943227171711051m-7907506898560250242msolistparagraph"/>
        <w:numPr>
          <w:ilvl w:val="0"/>
          <w:numId w:val="7"/>
        </w:numPr>
        <w:shd w:val="clear" w:color="auto" w:fill="FFFFFF"/>
        <w:spacing w:before="120" w:beforeAutospacing="0"/>
        <w:rPr>
          <w:rFonts w:ascii="Arial" w:hAnsi="Arial" w:cs="Arial"/>
          <w:color w:val="222222"/>
        </w:rPr>
      </w:pPr>
      <w:r>
        <w:rPr>
          <w:rFonts w:ascii="Arial" w:hAnsi="Arial" w:cs="Arial"/>
          <w:color w:val="222222"/>
        </w:rPr>
        <w:t>What are the policies governing the proposed project relating to travel and accommodation expenses for international consultants?</w:t>
      </w:r>
    </w:p>
    <w:p w:rsidR="00D203BC" w:rsidRPr="00232C3D" w:rsidRDefault="00D203BC" w:rsidP="00D203BC">
      <w:pPr>
        <w:pStyle w:val="m-6855943227171711051m-7907506898560250242msolistparagraph"/>
        <w:shd w:val="clear" w:color="auto" w:fill="FFFFFF"/>
        <w:spacing w:before="120" w:beforeAutospacing="0"/>
        <w:ind w:left="720"/>
        <w:rPr>
          <w:rFonts w:ascii="Arial" w:hAnsi="Arial" w:cs="Arial"/>
          <w:color w:val="222222"/>
          <w:u w:val="single"/>
        </w:rPr>
      </w:pPr>
      <w:r w:rsidRPr="00D203BC">
        <w:rPr>
          <w:rFonts w:ascii="Arial" w:hAnsi="Arial" w:cs="Arial"/>
          <w:b/>
          <w:color w:val="222222"/>
        </w:rPr>
        <w:t>Consultants are required to make their own travel arrangements including visa, boarding and lodging arrangements keeping in mind the timelines and requirements of the project. A visa facilitation letter will be provided if required.</w:t>
      </w:r>
      <w:r>
        <w:rPr>
          <w:rFonts w:ascii="Arial" w:hAnsi="Arial" w:cs="Arial"/>
          <w:color w:val="222222"/>
          <w:u w:val="single"/>
        </w:rPr>
        <w:t xml:space="preserve"> </w:t>
      </w:r>
    </w:p>
    <w:p w:rsidR="00D203BC" w:rsidRDefault="00D203BC" w:rsidP="00D203BC">
      <w:pPr>
        <w:pStyle w:val="m-6855943227171711051m-7907506898560250242msolistparagraph"/>
        <w:numPr>
          <w:ilvl w:val="0"/>
          <w:numId w:val="7"/>
        </w:numPr>
        <w:shd w:val="clear" w:color="auto" w:fill="FFFFFF"/>
        <w:spacing w:before="120" w:beforeAutospacing="0"/>
        <w:rPr>
          <w:rFonts w:ascii="Arial" w:hAnsi="Arial" w:cs="Arial"/>
          <w:color w:val="222222"/>
        </w:rPr>
      </w:pPr>
      <w:r>
        <w:rPr>
          <w:rFonts w:ascii="Arial" w:hAnsi="Arial" w:cs="Arial"/>
          <w:color w:val="222222"/>
        </w:rPr>
        <w:t>Will the consulting team be required to be “on-the-ground” for most of the project duration or would it be acceptable to undertake part of the work remotely? (such as the comparative analysis / global scan etc.)</w:t>
      </w:r>
    </w:p>
    <w:p w:rsidR="00D203BC" w:rsidRPr="00D203BC" w:rsidRDefault="00D203BC" w:rsidP="00D203BC">
      <w:pPr>
        <w:pStyle w:val="m-6855943227171711051m-7907506898560250242msolistparagraph"/>
        <w:pBdr>
          <w:bottom w:val="single" w:sz="6" w:space="1" w:color="auto"/>
        </w:pBdr>
        <w:shd w:val="clear" w:color="auto" w:fill="FFFFFF"/>
        <w:spacing w:before="120" w:beforeAutospacing="0"/>
        <w:ind w:left="720"/>
        <w:jc w:val="both"/>
        <w:rPr>
          <w:rFonts w:ascii="Arial" w:hAnsi="Arial" w:cs="Arial"/>
          <w:b/>
          <w:color w:val="222222"/>
        </w:rPr>
      </w:pPr>
      <w:r w:rsidRPr="00D203BC">
        <w:rPr>
          <w:rFonts w:ascii="Arial" w:hAnsi="Arial" w:cs="Arial"/>
          <w:b/>
          <w:color w:val="222222"/>
        </w:rPr>
        <w:t xml:space="preserve">Please refer to section 11.7.a, section 25 and ToRs section on Deliverable 2.1 “inception report”. Part of the work, which does not require on-the-ground activities may be conducted remotely, however, on-ground-presence during industry consultation, consensus building activities within SBP, and as required by the Steering Committee, is highly desirable and an important part of the proposal. </w:t>
      </w:r>
    </w:p>
    <w:p w:rsidR="00D203BC" w:rsidRDefault="00D203BC" w:rsidP="00D203BC">
      <w:pPr>
        <w:pStyle w:val="m-6855943227171711051m-7907506898560250242msolistparagraph"/>
        <w:pBdr>
          <w:bottom w:val="single" w:sz="6" w:space="1" w:color="auto"/>
        </w:pBdr>
        <w:shd w:val="clear" w:color="auto" w:fill="FFFFFF"/>
        <w:spacing w:before="120" w:beforeAutospacing="0"/>
        <w:ind w:left="720"/>
        <w:jc w:val="both"/>
        <w:rPr>
          <w:rFonts w:ascii="Arial" w:hAnsi="Arial" w:cs="Arial"/>
          <w:color w:val="222222"/>
        </w:rPr>
      </w:pPr>
    </w:p>
    <w:p w:rsidR="00D203BC" w:rsidRDefault="00D203BC" w:rsidP="00D203BC">
      <w:pPr>
        <w:pStyle w:val="m-6801995640742592930m-6737956037945102013msolistparagraph"/>
        <w:shd w:val="clear" w:color="auto" w:fill="FFFFFF"/>
        <w:spacing w:line="293" w:lineRule="atLeast"/>
        <w:rPr>
          <w:rFonts w:ascii="Arial" w:hAnsi="Arial" w:cs="Arial"/>
          <w:color w:val="222222"/>
          <w:u w:val="single"/>
        </w:rPr>
      </w:pPr>
    </w:p>
    <w:p w:rsidR="00D203BC" w:rsidRDefault="00D203BC" w:rsidP="00D203BC">
      <w:pPr>
        <w:pStyle w:val="m-6801995640742592930m-6737956037945102013msolistparagraph"/>
        <w:shd w:val="clear" w:color="auto" w:fill="FFFFFF"/>
        <w:spacing w:line="293" w:lineRule="atLeast"/>
        <w:rPr>
          <w:rFonts w:ascii="Arial" w:hAnsi="Arial" w:cs="Arial"/>
          <w:color w:val="222222"/>
        </w:rPr>
      </w:pPr>
    </w:p>
    <w:p w:rsidR="00D203BC" w:rsidRDefault="00D203BC" w:rsidP="00D203BC"/>
    <w:p w:rsidR="00D203BC" w:rsidRDefault="00D203BC" w:rsidP="000D6D83">
      <w:pPr>
        <w:spacing w:before="160"/>
        <w:jc w:val="both"/>
        <w:rPr>
          <w:rFonts w:ascii="Georgia" w:hAnsi="Georgia"/>
          <w:sz w:val="20"/>
          <w:szCs w:val="20"/>
        </w:rPr>
      </w:pPr>
    </w:p>
    <w:sectPr w:rsidR="00D203BC" w:rsidSect="00D1516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813" w:rsidRDefault="00051813" w:rsidP="00ED14B6">
      <w:pPr>
        <w:spacing w:after="0" w:line="240" w:lineRule="auto"/>
      </w:pPr>
      <w:r>
        <w:separator/>
      </w:r>
    </w:p>
  </w:endnote>
  <w:endnote w:type="continuationSeparator" w:id="0">
    <w:p w:rsidR="00051813" w:rsidRDefault="00051813" w:rsidP="00ED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813" w:rsidRDefault="00051813" w:rsidP="00ED14B6">
      <w:pPr>
        <w:spacing w:after="0" w:line="240" w:lineRule="auto"/>
      </w:pPr>
      <w:r>
        <w:separator/>
      </w:r>
    </w:p>
  </w:footnote>
  <w:footnote w:type="continuationSeparator" w:id="0">
    <w:p w:rsidR="00051813" w:rsidRDefault="00051813" w:rsidP="00ED1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208"/>
    <w:multiLevelType w:val="hybridMultilevel"/>
    <w:tmpl w:val="DFFE9B64"/>
    <w:lvl w:ilvl="0" w:tplc="7F3E0908">
      <w:start w:val="1"/>
      <w:numFmt w:val="decimal"/>
      <w:lvlText w:val="%1."/>
      <w:lvlJc w:val="left"/>
      <w:pPr>
        <w:ind w:left="1905" w:hanging="82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0770C"/>
    <w:multiLevelType w:val="hybridMultilevel"/>
    <w:tmpl w:val="B116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A5B27"/>
    <w:multiLevelType w:val="hybridMultilevel"/>
    <w:tmpl w:val="649E7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A5D3B"/>
    <w:multiLevelType w:val="hybridMultilevel"/>
    <w:tmpl w:val="CE02B4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E6F3E"/>
    <w:multiLevelType w:val="multilevel"/>
    <w:tmpl w:val="D464883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D34C8D"/>
    <w:multiLevelType w:val="multilevel"/>
    <w:tmpl w:val="746601E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B4A0A1C"/>
    <w:multiLevelType w:val="hybridMultilevel"/>
    <w:tmpl w:val="3ACAD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3416D"/>
    <w:multiLevelType w:val="hybridMultilevel"/>
    <w:tmpl w:val="7F6A6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CC"/>
    <w:rsid w:val="00015FAE"/>
    <w:rsid w:val="000217CE"/>
    <w:rsid w:val="00025F92"/>
    <w:rsid w:val="000440C1"/>
    <w:rsid w:val="00050A7A"/>
    <w:rsid w:val="00051813"/>
    <w:rsid w:val="00087369"/>
    <w:rsid w:val="00096AC9"/>
    <w:rsid w:val="000A0FEB"/>
    <w:rsid w:val="000B1445"/>
    <w:rsid w:val="000C5D9B"/>
    <w:rsid w:val="000D4C0B"/>
    <w:rsid w:val="000D6D83"/>
    <w:rsid w:val="000F2751"/>
    <w:rsid w:val="000F3C50"/>
    <w:rsid w:val="00127EDE"/>
    <w:rsid w:val="001377CD"/>
    <w:rsid w:val="001415E9"/>
    <w:rsid w:val="001447F3"/>
    <w:rsid w:val="00161E15"/>
    <w:rsid w:val="00176977"/>
    <w:rsid w:val="001A7B3A"/>
    <w:rsid w:val="001B4B50"/>
    <w:rsid w:val="001D3712"/>
    <w:rsid w:val="001E78DD"/>
    <w:rsid w:val="00202054"/>
    <w:rsid w:val="00210FB3"/>
    <w:rsid w:val="0023738A"/>
    <w:rsid w:val="00244AE6"/>
    <w:rsid w:val="002749E0"/>
    <w:rsid w:val="002D0DEA"/>
    <w:rsid w:val="002E45F7"/>
    <w:rsid w:val="002E607B"/>
    <w:rsid w:val="003055AB"/>
    <w:rsid w:val="00315120"/>
    <w:rsid w:val="0031657D"/>
    <w:rsid w:val="00324763"/>
    <w:rsid w:val="00327760"/>
    <w:rsid w:val="00344830"/>
    <w:rsid w:val="003B135E"/>
    <w:rsid w:val="003B15F5"/>
    <w:rsid w:val="003D09B7"/>
    <w:rsid w:val="003E5264"/>
    <w:rsid w:val="00416E55"/>
    <w:rsid w:val="00427200"/>
    <w:rsid w:val="00432AEF"/>
    <w:rsid w:val="004412A5"/>
    <w:rsid w:val="00441E8E"/>
    <w:rsid w:val="004613AF"/>
    <w:rsid w:val="00483629"/>
    <w:rsid w:val="004B46EE"/>
    <w:rsid w:val="004E1387"/>
    <w:rsid w:val="005561F2"/>
    <w:rsid w:val="00557F51"/>
    <w:rsid w:val="00571E4A"/>
    <w:rsid w:val="00572FA2"/>
    <w:rsid w:val="005C36F8"/>
    <w:rsid w:val="005C44E5"/>
    <w:rsid w:val="005D0C58"/>
    <w:rsid w:val="005D71AB"/>
    <w:rsid w:val="00610743"/>
    <w:rsid w:val="00611B13"/>
    <w:rsid w:val="00624AE7"/>
    <w:rsid w:val="006610DC"/>
    <w:rsid w:val="006A605E"/>
    <w:rsid w:val="006B1BBB"/>
    <w:rsid w:val="006B3697"/>
    <w:rsid w:val="006B4199"/>
    <w:rsid w:val="006B41F1"/>
    <w:rsid w:val="006B5EBF"/>
    <w:rsid w:val="006C7A3E"/>
    <w:rsid w:val="006D5964"/>
    <w:rsid w:val="006E773F"/>
    <w:rsid w:val="007077D2"/>
    <w:rsid w:val="0072014B"/>
    <w:rsid w:val="00762816"/>
    <w:rsid w:val="007668C7"/>
    <w:rsid w:val="00766A45"/>
    <w:rsid w:val="00774BE7"/>
    <w:rsid w:val="007A5916"/>
    <w:rsid w:val="007A693B"/>
    <w:rsid w:val="007B2587"/>
    <w:rsid w:val="007C6DE2"/>
    <w:rsid w:val="007E59E4"/>
    <w:rsid w:val="00805CCF"/>
    <w:rsid w:val="008142C1"/>
    <w:rsid w:val="008144AD"/>
    <w:rsid w:val="00815BE4"/>
    <w:rsid w:val="00816622"/>
    <w:rsid w:val="00840D4D"/>
    <w:rsid w:val="00860B67"/>
    <w:rsid w:val="00895606"/>
    <w:rsid w:val="008C7136"/>
    <w:rsid w:val="008E4E56"/>
    <w:rsid w:val="008F06E7"/>
    <w:rsid w:val="008F1CE8"/>
    <w:rsid w:val="008F241B"/>
    <w:rsid w:val="0091111C"/>
    <w:rsid w:val="009236FD"/>
    <w:rsid w:val="009507EB"/>
    <w:rsid w:val="00951626"/>
    <w:rsid w:val="0095202F"/>
    <w:rsid w:val="009D6FEB"/>
    <w:rsid w:val="009E6F53"/>
    <w:rsid w:val="00A37E2E"/>
    <w:rsid w:val="00A4244A"/>
    <w:rsid w:val="00A5776A"/>
    <w:rsid w:val="00A65094"/>
    <w:rsid w:val="00A82DC2"/>
    <w:rsid w:val="00A85DD9"/>
    <w:rsid w:val="00AB45D5"/>
    <w:rsid w:val="00AB47BC"/>
    <w:rsid w:val="00AD41EA"/>
    <w:rsid w:val="00AE0B32"/>
    <w:rsid w:val="00B06D38"/>
    <w:rsid w:val="00B24EB5"/>
    <w:rsid w:val="00B3187B"/>
    <w:rsid w:val="00B34AA3"/>
    <w:rsid w:val="00B417BE"/>
    <w:rsid w:val="00B577B6"/>
    <w:rsid w:val="00B829EE"/>
    <w:rsid w:val="00BB2877"/>
    <w:rsid w:val="00BB5CB4"/>
    <w:rsid w:val="00BC3FAD"/>
    <w:rsid w:val="00C10B11"/>
    <w:rsid w:val="00C36079"/>
    <w:rsid w:val="00C4284B"/>
    <w:rsid w:val="00C6045E"/>
    <w:rsid w:val="00C62B1D"/>
    <w:rsid w:val="00C6540F"/>
    <w:rsid w:val="00C7235B"/>
    <w:rsid w:val="00C84A97"/>
    <w:rsid w:val="00C84C71"/>
    <w:rsid w:val="00C87E4D"/>
    <w:rsid w:val="00CC21B7"/>
    <w:rsid w:val="00CC49B7"/>
    <w:rsid w:val="00CC576A"/>
    <w:rsid w:val="00D0595C"/>
    <w:rsid w:val="00D11522"/>
    <w:rsid w:val="00D11B77"/>
    <w:rsid w:val="00D14DDF"/>
    <w:rsid w:val="00D15167"/>
    <w:rsid w:val="00D203BC"/>
    <w:rsid w:val="00D24FD4"/>
    <w:rsid w:val="00D26C6B"/>
    <w:rsid w:val="00D377A6"/>
    <w:rsid w:val="00D54A2E"/>
    <w:rsid w:val="00D65912"/>
    <w:rsid w:val="00D722BC"/>
    <w:rsid w:val="00D86B09"/>
    <w:rsid w:val="00D86C80"/>
    <w:rsid w:val="00D92F11"/>
    <w:rsid w:val="00DC0BB6"/>
    <w:rsid w:val="00DC4A98"/>
    <w:rsid w:val="00DE50BA"/>
    <w:rsid w:val="00DF1882"/>
    <w:rsid w:val="00E07652"/>
    <w:rsid w:val="00E1704D"/>
    <w:rsid w:val="00E217B2"/>
    <w:rsid w:val="00E334B9"/>
    <w:rsid w:val="00E4027D"/>
    <w:rsid w:val="00E568F3"/>
    <w:rsid w:val="00ED0955"/>
    <w:rsid w:val="00ED14B6"/>
    <w:rsid w:val="00ED7764"/>
    <w:rsid w:val="00EE400D"/>
    <w:rsid w:val="00F147D4"/>
    <w:rsid w:val="00F154EA"/>
    <w:rsid w:val="00F16277"/>
    <w:rsid w:val="00F257CC"/>
    <w:rsid w:val="00F63076"/>
    <w:rsid w:val="00F719DC"/>
    <w:rsid w:val="00F7678B"/>
    <w:rsid w:val="00F87FE8"/>
    <w:rsid w:val="00FA0771"/>
    <w:rsid w:val="00FA7260"/>
    <w:rsid w:val="00FC2542"/>
    <w:rsid w:val="00FF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718E3-96FC-466D-8703-7B9D237D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E4A"/>
    <w:pPr>
      <w:ind w:left="720"/>
      <w:contextualSpacing/>
    </w:pPr>
  </w:style>
  <w:style w:type="table" w:styleId="TableGrid">
    <w:name w:val="Table Grid"/>
    <w:basedOn w:val="TableNormal"/>
    <w:uiPriority w:val="39"/>
    <w:rsid w:val="0030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9B7"/>
    <w:rPr>
      <w:color w:val="0000FF" w:themeColor="hyperlink"/>
      <w:u w:val="single"/>
    </w:rPr>
  </w:style>
  <w:style w:type="paragraph" w:customStyle="1" w:styleId="Default">
    <w:name w:val="Default"/>
    <w:rsid w:val="0032476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4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C1"/>
    <w:rPr>
      <w:rFonts w:ascii="Segoe UI" w:hAnsi="Segoe UI" w:cs="Segoe UI"/>
      <w:sz w:val="18"/>
      <w:szCs w:val="18"/>
    </w:rPr>
  </w:style>
  <w:style w:type="paragraph" w:styleId="Header">
    <w:name w:val="header"/>
    <w:basedOn w:val="Normal"/>
    <w:link w:val="HeaderChar"/>
    <w:uiPriority w:val="99"/>
    <w:unhideWhenUsed/>
    <w:rsid w:val="00ED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B6"/>
  </w:style>
  <w:style w:type="paragraph" w:styleId="Footer">
    <w:name w:val="footer"/>
    <w:basedOn w:val="Normal"/>
    <w:link w:val="FooterChar"/>
    <w:uiPriority w:val="99"/>
    <w:unhideWhenUsed/>
    <w:rsid w:val="00ED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B6"/>
  </w:style>
  <w:style w:type="paragraph" w:customStyle="1" w:styleId="m-6801995640742592930m-6737956037945102013msolistparagraph">
    <w:name w:val="m_-6801995640742592930m_-6737956037945102013msolistparagraph"/>
    <w:basedOn w:val="Normal"/>
    <w:rsid w:val="00D203B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03BC"/>
    <w:rPr>
      <w:sz w:val="16"/>
      <w:szCs w:val="16"/>
    </w:rPr>
  </w:style>
  <w:style w:type="paragraph" w:styleId="CommentText">
    <w:name w:val="annotation text"/>
    <w:basedOn w:val="Normal"/>
    <w:link w:val="CommentTextChar"/>
    <w:uiPriority w:val="99"/>
    <w:semiHidden/>
    <w:unhideWhenUsed/>
    <w:rsid w:val="00D203BC"/>
    <w:pPr>
      <w:spacing w:line="240" w:lineRule="auto"/>
    </w:pPr>
    <w:rPr>
      <w:sz w:val="20"/>
      <w:szCs w:val="20"/>
    </w:rPr>
  </w:style>
  <w:style w:type="character" w:customStyle="1" w:styleId="CommentTextChar">
    <w:name w:val="Comment Text Char"/>
    <w:basedOn w:val="DefaultParagraphFont"/>
    <w:link w:val="CommentText"/>
    <w:uiPriority w:val="99"/>
    <w:semiHidden/>
    <w:rsid w:val="00D203BC"/>
    <w:rPr>
      <w:sz w:val="20"/>
      <w:szCs w:val="20"/>
    </w:rPr>
  </w:style>
  <w:style w:type="paragraph" w:customStyle="1" w:styleId="m-6855943227171711051m-7907506898560250242msolistparagraph">
    <w:name w:val="m_-6855943227171711051m_-7907506898560250242msolistparagraph"/>
    <w:basedOn w:val="Normal"/>
    <w:rsid w:val="00D203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E45C-B2EE-4CED-84E3-982BFD96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3617</Words>
  <Characters>20621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Nasha Tengra</dc:creator>
  <cp:keywords/>
  <dc:description/>
  <cp:lastModifiedBy>Mustafa</cp:lastModifiedBy>
  <cp:revision>2</cp:revision>
  <dcterms:created xsi:type="dcterms:W3CDTF">2018-10-15T11:43:00Z</dcterms:created>
  <dcterms:modified xsi:type="dcterms:W3CDTF">2018-10-15T11:43:00Z</dcterms:modified>
</cp:coreProperties>
</file>