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9B37C" w14:textId="77777777" w:rsidR="00FD019A" w:rsidRPr="007339F8" w:rsidRDefault="00FD019A" w:rsidP="00FD019A">
      <w:pPr>
        <w:pStyle w:val="Heading3"/>
        <w:spacing w:before="300" w:beforeAutospacing="0" w:after="150" w:afterAutospacing="0"/>
        <w:rPr>
          <w:rFonts w:ascii="Georgia" w:hAnsi="Georgia"/>
          <w:sz w:val="20"/>
          <w:szCs w:val="20"/>
        </w:rPr>
      </w:pPr>
      <w:r>
        <w:rPr>
          <w:rFonts w:ascii="Georgia" w:hAnsi="Georgia"/>
          <w:sz w:val="20"/>
          <w:szCs w:val="20"/>
        </w:rPr>
        <w:t xml:space="preserve">Points requiring clarifications in relation to the </w:t>
      </w:r>
      <w:r w:rsidR="00D85D1D">
        <w:rPr>
          <w:rFonts w:ascii="Georgia" w:hAnsi="Georgia"/>
          <w:sz w:val="20"/>
          <w:szCs w:val="20"/>
        </w:rPr>
        <w:t>Expression of Interest</w:t>
      </w:r>
      <w:r w:rsidRPr="00571E4A">
        <w:rPr>
          <w:rFonts w:ascii="Georgia" w:hAnsi="Georgia"/>
          <w:sz w:val="20"/>
          <w:szCs w:val="20"/>
        </w:rPr>
        <w:t xml:space="preserve"> </w:t>
      </w:r>
      <w:r>
        <w:rPr>
          <w:rFonts w:ascii="Georgia" w:hAnsi="Georgia"/>
          <w:b w:val="0"/>
          <w:sz w:val="20"/>
          <w:szCs w:val="20"/>
        </w:rPr>
        <w:t>No</w:t>
      </w:r>
      <w:r w:rsidRPr="007339F8">
        <w:rPr>
          <w:rFonts w:ascii="Georgia" w:hAnsi="Georgia"/>
          <w:sz w:val="20"/>
          <w:szCs w:val="20"/>
        </w:rPr>
        <w:t xml:space="preserve">. </w:t>
      </w:r>
      <w:r w:rsidR="00D85D1D">
        <w:rPr>
          <w:rFonts w:ascii="Georgia" w:hAnsi="Georgia"/>
          <w:sz w:val="20"/>
          <w:szCs w:val="20"/>
        </w:rPr>
        <w:t>14</w:t>
      </w:r>
      <w:r>
        <w:rPr>
          <w:rFonts w:ascii="Georgia" w:hAnsi="Georgia"/>
          <w:sz w:val="20"/>
          <w:szCs w:val="20"/>
        </w:rPr>
        <w:t xml:space="preserve"> </w:t>
      </w:r>
      <w:r w:rsidR="00362200">
        <w:rPr>
          <w:rFonts w:ascii="Georgia" w:hAnsi="Georgia"/>
          <w:sz w:val="20"/>
          <w:szCs w:val="20"/>
        </w:rPr>
        <w:t>“</w:t>
      </w:r>
      <w:r w:rsidR="00D85D1D" w:rsidRPr="00D85D1D">
        <w:rPr>
          <w:rFonts w:ascii="Georgia" w:hAnsi="Georgia"/>
          <w:sz w:val="20"/>
          <w:szCs w:val="20"/>
        </w:rPr>
        <w:t>Business Plan for SME-Focused NBFC</w:t>
      </w:r>
      <w:r w:rsidR="00362200">
        <w:rPr>
          <w:rFonts w:ascii="Georgia" w:hAnsi="Georgia"/>
          <w:sz w:val="20"/>
          <w:szCs w:val="20"/>
        </w:rPr>
        <w:t>”</w:t>
      </w:r>
    </w:p>
    <w:p w14:paraId="38376D45" w14:textId="77777777" w:rsidR="00FD019A" w:rsidRDefault="00FD019A" w:rsidP="00FD019A">
      <w:pPr>
        <w:jc w:val="center"/>
        <w:rPr>
          <w:rFonts w:ascii="Georgia" w:hAnsi="Georgia"/>
          <w:sz w:val="20"/>
          <w:szCs w:val="20"/>
        </w:rPr>
      </w:pPr>
    </w:p>
    <w:p w14:paraId="4167C602" w14:textId="77777777" w:rsidR="00FD019A" w:rsidRDefault="00FD019A" w:rsidP="00FD019A">
      <w:pPr>
        <w:jc w:val="both"/>
        <w:rPr>
          <w:rFonts w:ascii="Georgia" w:hAnsi="Georgia"/>
          <w:sz w:val="20"/>
          <w:szCs w:val="20"/>
        </w:rPr>
      </w:pPr>
      <w:r>
        <w:rPr>
          <w:rFonts w:ascii="Georgia" w:hAnsi="Georgia"/>
          <w:sz w:val="20"/>
          <w:szCs w:val="20"/>
        </w:rPr>
        <w:t>We h</w:t>
      </w:r>
      <w:r w:rsidRPr="008C7136">
        <w:rPr>
          <w:rFonts w:ascii="Georgia" w:hAnsi="Georgia"/>
          <w:sz w:val="20"/>
          <w:szCs w:val="20"/>
        </w:rPr>
        <w:t xml:space="preserve">ave </w:t>
      </w:r>
      <w:r>
        <w:rPr>
          <w:rFonts w:ascii="Georgia" w:hAnsi="Georgia"/>
          <w:sz w:val="20"/>
          <w:szCs w:val="20"/>
        </w:rPr>
        <w:t xml:space="preserve">the following queries/ clarification requirements with respect to certain content </w:t>
      </w:r>
      <w:r w:rsidRPr="008C7136">
        <w:rPr>
          <w:rFonts w:ascii="Georgia" w:hAnsi="Georgia"/>
          <w:sz w:val="20"/>
          <w:szCs w:val="20"/>
        </w:rPr>
        <w:t xml:space="preserve">mentioned in the </w:t>
      </w:r>
      <w:r w:rsidR="00641071">
        <w:rPr>
          <w:rFonts w:ascii="Georgia" w:hAnsi="Georgia"/>
          <w:sz w:val="20"/>
          <w:szCs w:val="20"/>
        </w:rPr>
        <w:t>Expression of Interest</w:t>
      </w:r>
      <w:r>
        <w:rPr>
          <w:rFonts w:ascii="Georgia" w:hAnsi="Georgia"/>
          <w:sz w:val="20"/>
          <w:szCs w:val="20"/>
        </w:rPr>
        <w:t xml:space="preserve"> (</w:t>
      </w:r>
      <w:r w:rsidR="00641071">
        <w:rPr>
          <w:rFonts w:ascii="Georgia" w:hAnsi="Georgia"/>
          <w:sz w:val="20"/>
          <w:szCs w:val="20"/>
        </w:rPr>
        <w:t>EOI</w:t>
      </w:r>
      <w:r>
        <w:rPr>
          <w:rFonts w:ascii="Georgia" w:hAnsi="Georgia"/>
          <w:sz w:val="20"/>
          <w:szCs w:val="20"/>
        </w:rPr>
        <w:t>)</w:t>
      </w:r>
      <w:r w:rsidRPr="008C7136">
        <w:rPr>
          <w:rFonts w:ascii="Georgia" w:hAnsi="Georgia"/>
          <w:sz w:val="20"/>
          <w:szCs w:val="20"/>
        </w:rPr>
        <w:t xml:space="preserve"> </w:t>
      </w:r>
      <w:r>
        <w:rPr>
          <w:rFonts w:ascii="Georgia" w:hAnsi="Georgia"/>
          <w:sz w:val="20"/>
          <w:szCs w:val="20"/>
        </w:rPr>
        <w:t xml:space="preserve">and for which </w:t>
      </w:r>
      <w:r w:rsidRPr="008C7136">
        <w:rPr>
          <w:rFonts w:ascii="Georgia" w:hAnsi="Georgia"/>
          <w:sz w:val="20"/>
          <w:szCs w:val="20"/>
        </w:rPr>
        <w:t>your feedback/ expectations</w:t>
      </w:r>
      <w:r>
        <w:rPr>
          <w:rFonts w:ascii="Georgia" w:hAnsi="Georgia"/>
          <w:sz w:val="20"/>
          <w:szCs w:val="20"/>
        </w:rPr>
        <w:t xml:space="preserve"> from the consultants is sought:</w:t>
      </w:r>
    </w:p>
    <w:p w14:paraId="452421AE" w14:textId="77777777" w:rsidR="002B1020" w:rsidRDefault="002B1020"/>
    <w:tbl>
      <w:tblPr>
        <w:tblStyle w:val="TableGrid"/>
        <w:tblW w:w="13212" w:type="dxa"/>
        <w:tblLook w:val="04A0" w:firstRow="1" w:lastRow="0" w:firstColumn="1" w:lastColumn="0" w:noHBand="0" w:noVBand="1"/>
      </w:tblPr>
      <w:tblGrid>
        <w:gridCol w:w="988"/>
        <w:gridCol w:w="6945"/>
        <w:gridCol w:w="5279"/>
      </w:tblGrid>
      <w:tr w:rsidR="002B1020" w:rsidRPr="002B1020" w14:paraId="11A2A9A7" w14:textId="77777777" w:rsidTr="00FD019A">
        <w:trPr>
          <w:trHeight w:val="187"/>
        </w:trPr>
        <w:tc>
          <w:tcPr>
            <w:tcW w:w="988" w:type="dxa"/>
          </w:tcPr>
          <w:p w14:paraId="162CD9B8" w14:textId="77777777" w:rsidR="002B1020" w:rsidRPr="00FD019A" w:rsidRDefault="00FD019A" w:rsidP="002B1020">
            <w:pPr>
              <w:jc w:val="center"/>
              <w:rPr>
                <w:rFonts w:ascii="Georgia" w:hAnsi="Georgia"/>
                <w:b/>
                <w:sz w:val="20"/>
                <w:szCs w:val="20"/>
              </w:rPr>
            </w:pPr>
            <w:r>
              <w:rPr>
                <w:rFonts w:ascii="Georgia" w:hAnsi="Georgia"/>
                <w:b/>
                <w:sz w:val="20"/>
                <w:szCs w:val="20"/>
              </w:rPr>
              <w:t>S#</w:t>
            </w:r>
          </w:p>
        </w:tc>
        <w:tc>
          <w:tcPr>
            <w:tcW w:w="6945" w:type="dxa"/>
          </w:tcPr>
          <w:p w14:paraId="51A92296" w14:textId="77777777" w:rsidR="002B1020" w:rsidRPr="002B1020" w:rsidRDefault="0041563F" w:rsidP="002B1020">
            <w:pPr>
              <w:jc w:val="center"/>
              <w:rPr>
                <w:b/>
                <w:sz w:val="28"/>
              </w:rPr>
            </w:pPr>
            <w:r w:rsidRPr="003055AB">
              <w:rPr>
                <w:rFonts w:ascii="Georgia" w:hAnsi="Georgia"/>
                <w:b/>
                <w:sz w:val="20"/>
                <w:szCs w:val="20"/>
              </w:rPr>
              <w:t>Clarification</w:t>
            </w:r>
            <w:r>
              <w:rPr>
                <w:rFonts w:ascii="Georgia" w:hAnsi="Georgia"/>
                <w:b/>
                <w:sz w:val="20"/>
                <w:szCs w:val="20"/>
              </w:rPr>
              <w:t>/ Information</w:t>
            </w:r>
            <w:r w:rsidRPr="003055AB">
              <w:rPr>
                <w:rFonts w:ascii="Georgia" w:hAnsi="Georgia"/>
                <w:b/>
                <w:sz w:val="20"/>
                <w:szCs w:val="20"/>
              </w:rPr>
              <w:t xml:space="preserve"> Required</w:t>
            </w:r>
          </w:p>
        </w:tc>
        <w:tc>
          <w:tcPr>
            <w:tcW w:w="5279" w:type="dxa"/>
          </w:tcPr>
          <w:p w14:paraId="60A0BDEA" w14:textId="77777777" w:rsidR="002B1020" w:rsidRPr="002B1020" w:rsidRDefault="002B1020" w:rsidP="002B1020">
            <w:pPr>
              <w:jc w:val="center"/>
              <w:rPr>
                <w:b/>
                <w:sz w:val="28"/>
              </w:rPr>
            </w:pPr>
            <w:r w:rsidRPr="00FD019A">
              <w:rPr>
                <w:rFonts w:ascii="Georgia" w:hAnsi="Georgia"/>
                <w:b/>
                <w:sz w:val="20"/>
                <w:szCs w:val="20"/>
              </w:rPr>
              <w:t>Comments</w:t>
            </w:r>
          </w:p>
        </w:tc>
      </w:tr>
      <w:tr w:rsidR="003C08CA" w14:paraId="54C4A9C3" w14:textId="77777777" w:rsidTr="00276625">
        <w:trPr>
          <w:trHeight w:val="2094"/>
        </w:trPr>
        <w:tc>
          <w:tcPr>
            <w:tcW w:w="988" w:type="dxa"/>
          </w:tcPr>
          <w:p w14:paraId="285337DF" w14:textId="77777777" w:rsidR="003C08CA" w:rsidRPr="00276625" w:rsidRDefault="003C08CA" w:rsidP="003C08CA">
            <w:pPr>
              <w:jc w:val="center"/>
              <w:rPr>
                <w:rFonts w:ascii="Georgia" w:hAnsi="Georgia"/>
                <w:b/>
              </w:rPr>
            </w:pPr>
          </w:p>
          <w:p w14:paraId="1B933570" w14:textId="77777777" w:rsidR="00276625" w:rsidRPr="00276625" w:rsidRDefault="00276625" w:rsidP="003C08CA">
            <w:pPr>
              <w:jc w:val="center"/>
              <w:rPr>
                <w:rFonts w:ascii="Georgia" w:hAnsi="Georgia"/>
                <w:b/>
              </w:rPr>
            </w:pPr>
          </w:p>
          <w:p w14:paraId="7975D1D7" w14:textId="77777777" w:rsidR="003C08CA" w:rsidRPr="00276625" w:rsidRDefault="00276625" w:rsidP="00276625">
            <w:pPr>
              <w:jc w:val="center"/>
              <w:rPr>
                <w:rFonts w:ascii="Georgia" w:hAnsi="Georgia"/>
                <w:b/>
              </w:rPr>
            </w:pPr>
            <w:r w:rsidRPr="00276625">
              <w:rPr>
                <w:rFonts w:ascii="Georgia" w:hAnsi="Georgia"/>
                <w:b/>
              </w:rPr>
              <w:t>1</w:t>
            </w:r>
          </w:p>
        </w:tc>
        <w:tc>
          <w:tcPr>
            <w:tcW w:w="6945" w:type="dxa"/>
          </w:tcPr>
          <w:p w14:paraId="3800223D" w14:textId="77777777" w:rsidR="00276625" w:rsidRDefault="00276625" w:rsidP="00276625">
            <w:pPr>
              <w:rPr>
                <w:rFonts w:ascii="Georgia" w:hAnsi="Georgia"/>
                <w:szCs w:val="20"/>
              </w:rPr>
            </w:pPr>
          </w:p>
          <w:p w14:paraId="782E3ED2" w14:textId="77777777" w:rsidR="003C08CA" w:rsidRPr="00276625" w:rsidRDefault="00276625" w:rsidP="00276625">
            <w:pPr>
              <w:rPr>
                <w:rFonts w:ascii="Georgia" w:hAnsi="Georgia"/>
                <w:szCs w:val="20"/>
              </w:rPr>
            </w:pPr>
            <w:r w:rsidRPr="00276625">
              <w:rPr>
                <w:rFonts w:ascii="Georgia" w:hAnsi="Georgia"/>
                <w:szCs w:val="20"/>
              </w:rPr>
              <w:t>One of the pre-requisites is the requirement of audited accounts. This is a practice which is rarely applicable of partnership firms. We are bidding as a consortium and this practice is not applicable on 2 of our consortium members. Is there an alternative we can provide besides audited accounts? We will be more than happy to share our tax certificates, returns and financial statements (un-audited).</w:t>
            </w:r>
          </w:p>
        </w:tc>
        <w:tc>
          <w:tcPr>
            <w:tcW w:w="5279" w:type="dxa"/>
          </w:tcPr>
          <w:p w14:paraId="548C4A95" w14:textId="29828417" w:rsidR="00646E7C" w:rsidRDefault="00646E7C" w:rsidP="00362200">
            <w:pPr>
              <w:rPr>
                <w:rFonts w:ascii="Georgia" w:hAnsi="Georgia"/>
                <w:szCs w:val="20"/>
              </w:rPr>
            </w:pPr>
            <w:bookmarkStart w:id="0" w:name="_GoBack"/>
            <w:bookmarkEnd w:id="0"/>
            <w:r>
              <w:rPr>
                <w:rFonts w:ascii="Georgia" w:hAnsi="Georgia"/>
                <w:szCs w:val="20"/>
              </w:rPr>
              <w:t xml:space="preserve">Please refer to </w:t>
            </w:r>
            <w:r w:rsidR="00433EC3" w:rsidRPr="00433EC3">
              <w:rPr>
                <w:rFonts w:ascii="Georgia" w:hAnsi="Georgia"/>
                <w:b/>
                <w:szCs w:val="20"/>
              </w:rPr>
              <w:t>C</w:t>
            </w:r>
            <w:r w:rsidRPr="00433EC3">
              <w:rPr>
                <w:rFonts w:ascii="Georgia" w:hAnsi="Georgia"/>
                <w:b/>
                <w:szCs w:val="20"/>
              </w:rPr>
              <w:t>hecklist</w:t>
            </w:r>
            <w:r>
              <w:rPr>
                <w:rFonts w:ascii="Georgia" w:hAnsi="Georgia"/>
                <w:szCs w:val="20"/>
              </w:rPr>
              <w:t xml:space="preserve"> (section h): </w:t>
            </w:r>
          </w:p>
          <w:p w14:paraId="212CF521" w14:textId="611990F2" w:rsidR="00607C7D" w:rsidRPr="00362200" w:rsidRDefault="00646E7C" w:rsidP="00362200">
            <w:pPr>
              <w:rPr>
                <w:rFonts w:ascii="Georgia" w:hAnsi="Georgia"/>
                <w:szCs w:val="20"/>
              </w:rPr>
            </w:pPr>
            <w:r>
              <w:rPr>
                <w:rFonts w:ascii="Georgia" w:hAnsi="Georgia"/>
                <w:szCs w:val="20"/>
              </w:rPr>
              <w:t>“</w:t>
            </w:r>
            <w:r w:rsidRPr="00646E7C">
              <w:rPr>
                <w:rFonts w:ascii="Georgia" w:hAnsi="Georgia"/>
                <w:szCs w:val="20"/>
              </w:rPr>
              <w:t>For the most recent fiscal year audited financial statements and/or income tax returns filed with the tax authorities and/or the letter from the external auditor and/or from CFO confirming the revenues and that the accounts have been audited.  (Single entity or Lead entity and its partners)</w:t>
            </w:r>
            <w:r>
              <w:rPr>
                <w:rFonts w:ascii="Georgia" w:hAnsi="Georgia"/>
                <w:szCs w:val="20"/>
              </w:rPr>
              <w:t>”</w:t>
            </w:r>
          </w:p>
        </w:tc>
      </w:tr>
      <w:tr w:rsidR="00607C7D" w14:paraId="04BF4113" w14:textId="77777777" w:rsidTr="00276625">
        <w:trPr>
          <w:trHeight w:val="1982"/>
        </w:trPr>
        <w:tc>
          <w:tcPr>
            <w:tcW w:w="988" w:type="dxa"/>
          </w:tcPr>
          <w:p w14:paraId="17B16F37" w14:textId="77777777" w:rsidR="00607C7D" w:rsidRPr="00276625" w:rsidRDefault="00607C7D" w:rsidP="00607C7D"/>
          <w:p w14:paraId="0D044E80" w14:textId="77777777" w:rsidR="00607C7D" w:rsidRPr="00276625" w:rsidRDefault="00607C7D" w:rsidP="00607C7D"/>
          <w:p w14:paraId="79443CD8" w14:textId="77777777" w:rsidR="00607C7D" w:rsidRPr="00276625" w:rsidRDefault="00607C7D" w:rsidP="00607C7D">
            <w:pPr>
              <w:jc w:val="center"/>
            </w:pPr>
            <w:r w:rsidRPr="00276625">
              <w:rPr>
                <w:rFonts w:ascii="Georgia" w:hAnsi="Georgia"/>
                <w:b/>
              </w:rPr>
              <w:t>2</w:t>
            </w:r>
          </w:p>
        </w:tc>
        <w:tc>
          <w:tcPr>
            <w:tcW w:w="6945" w:type="dxa"/>
          </w:tcPr>
          <w:p w14:paraId="49DF1B16" w14:textId="77777777" w:rsidR="00276625" w:rsidRDefault="00276625" w:rsidP="00276625">
            <w:pPr>
              <w:rPr>
                <w:rFonts w:ascii="Georgia" w:hAnsi="Georgia"/>
                <w:szCs w:val="20"/>
              </w:rPr>
            </w:pPr>
          </w:p>
          <w:p w14:paraId="0F1EF522" w14:textId="77777777" w:rsidR="00641071" w:rsidRDefault="00276625" w:rsidP="00641071">
            <w:pPr>
              <w:rPr>
                <w:rFonts w:ascii="Georgia" w:hAnsi="Georgia"/>
                <w:szCs w:val="20"/>
              </w:rPr>
            </w:pPr>
            <w:r w:rsidRPr="00276625">
              <w:rPr>
                <w:rFonts w:ascii="Georgia" w:hAnsi="Georgia"/>
                <w:szCs w:val="20"/>
              </w:rPr>
              <w:t xml:space="preserve">Under section b, scope of work, inception phase the first step of the project is to: </w:t>
            </w:r>
            <w:r w:rsidRPr="00276625">
              <w:rPr>
                <w:rFonts w:ascii="Georgia" w:hAnsi="Georgia"/>
                <w:szCs w:val="20"/>
              </w:rPr>
              <w:br/>
              <w:t>‘Develop an understanding of Pakistan’s NBFI sector, and the experience and current business of Karandaaz Capital by reviewing:</w:t>
            </w:r>
          </w:p>
          <w:p w14:paraId="31AEE089" w14:textId="77777777" w:rsidR="00607C7D" w:rsidRDefault="00276625" w:rsidP="00641071">
            <w:pPr>
              <w:rPr>
                <w:rFonts w:ascii="Georgia" w:hAnsi="Georgia"/>
                <w:szCs w:val="20"/>
              </w:rPr>
            </w:pPr>
            <w:r w:rsidRPr="00276625">
              <w:rPr>
                <w:rFonts w:ascii="Georgia" w:hAnsi="Georgia"/>
                <w:szCs w:val="20"/>
              </w:rPr>
              <w:br/>
              <w:t>Findings of the Feasibility Study, including developing an understanding of Pakistan’s SME market (demand and supply side)’. Can you please clarify what this feasibility study is? </w:t>
            </w:r>
          </w:p>
          <w:p w14:paraId="1CE8B0AD" w14:textId="77777777" w:rsidR="00276625" w:rsidRPr="00276625" w:rsidRDefault="00276625" w:rsidP="00276625">
            <w:pPr>
              <w:rPr>
                <w:rFonts w:ascii="Georgia" w:hAnsi="Georgia"/>
                <w:szCs w:val="20"/>
              </w:rPr>
            </w:pPr>
          </w:p>
        </w:tc>
        <w:tc>
          <w:tcPr>
            <w:tcW w:w="5279" w:type="dxa"/>
          </w:tcPr>
          <w:p w14:paraId="25CEAC93" w14:textId="0D2B7F52" w:rsidR="000C5FA4" w:rsidRPr="00362200" w:rsidRDefault="008F5E91" w:rsidP="008948D1">
            <w:pPr>
              <w:rPr>
                <w:rFonts w:ascii="Georgia" w:hAnsi="Georgia"/>
                <w:szCs w:val="20"/>
              </w:rPr>
            </w:pPr>
            <w:r>
              <w:rPr>
                <w:rFonts w:ascii="Georgia" w:hAnsi="Georgia"/>
                <w:szCs w:val="20"/>
              </w:rPr>
              <w:t xml:space="preserve">A Feasibility Study for establishing an SPV for SME Financing was </w:t>
            </w:r>
            <w:r w:rsidR="008948D1">
              <w:rPr>
                <w:rFonts w:ascii="Georgia" w:hAnsi="Georgia"/>
                <w:szCs w:val="20"/>
              </w:rPr>
              <w:t xml:space="preserve">commissioned by </w:t>
            </w:r>
            <w:proofErr w:type="spellStart"/>
            <w:r w:rsidR="008948D1">
              <w:rPr>
                <w:rFonts w:ascii="Georgia" w:hAnsi="Georgia"/>
                <w:szCs w:val="20"/>
              </w:rPr>
              <w:t>Karandaaz</w:t>
            </w:r>
            <w:proofErr w:type="spellEnd"/>
            <w:r>
              <w:rPr>
                <w:rFonts w:ascii="Georgia" w:hAnsi="Georgia"/>
                <w:szCs w:val="20"/>
              </w:rPr>
              <w:t xml:space="preserve">. The Feasibility included an SME market sizing exercise (no. of SMEs, geographic concentration) and a regulatory scan to determine a regulatory structure suited to </w:t>
            </w:r>
            <w:proofErr w:type="spellStart"/>
            <w:r>
              <w:rPr>
                <w:rFonts w:ascii="Georgia" w:hAnsi="Georgia"/>
                <w:szCs w:val="20"/>
              </w:rPr>
              <w:t>Karandaaz’s</w:t>
            </w:r>
            <w:proofErr w:type="spellEnd"/>
            <w:r>
              <w:rPr>
                <w:rFonts w:ascii="Georgia" w:hAnsi="Georgia"/>
                <w:szCs w:val="20"/>
              </w:rPr>
              <w:t xml:space="preserve"> vision, learnings and targets in the SME financing space. This study</w:t>
            </w:r>
            <w:r w:rsidR="008948D1">
              <w:rPr>
                <w:rFonts w:ascii="Georgia" w:hAnsi="Georgia"/>
                <w:szCs w:val="20"/>
              </w:rPr>
              <w:t xml:space="preserve"> which is available with Karandaaz</w:t>
            </w:r>
            <w:r>
              <w:rPr>
                <w:rFonts w:ascii="Georgia" w:hAnsi="Georgia"/>
                <w:szCs w:val="20"/>
              </w:rPr>
              <w:t xml:space="preserve"> will be made available to the successful bidder at the start of the project.  </w:t>
            </w:r>
          </w:p>
        </w:tc>
      </w:tr>
      <w:tr w:rsidR="00607C7D" w14:paraId="1962FA68" w14:textId="77777777" w:rsidTr="00FD019A">
        <w:trPr>
          <w:trHeight w:val="351"/>
        </w:trPr>
        <w:tc>
          <w:tcPr>
            <w:tcW w:w="988" w:type="dxa"/>
          </w:tcPr>
          <w:p w14:paraId="383015D3" w14:textId="77777777" w:rsidR="00607C7D" w:rsidRPr="00276625" w:rsidRDefault="00607C7D" w:rsidP="00607C7D"/>
          <w:p w14:paraId="27C201AA" w14:textId="77777777" w:rsidR="00607C7D" w:rsidRPr="00276625" w:rsidRDefault="00607C7D" w:rsidP="00607C7D">
            <w:pPr>
              <w:jc w:val="center"/>
            </w:pPr>
            <w:r w:rsidRPr="00276625">
              <w:rPr>
                <w:rFonts w:ascii="Georgia" w:hAnsi="Georgia"/>
                <w:b/>
              </w:rPr>
              <w:t>3</w:t>
            </w:r>
          </w:p>
        </w:tc>
        <w:tc>
          <w:tcPr>
            <w:tcW w:w="6945" w:type="dxa"/>
          </w:tcPr>
          <w:p w14:paraId="58C6B192" w14:textId="77777777" w:rsidR="00276625" w:rsidRDefault="00276625" w:rsidP="00276625">
            <w:pPr>
              <w:rPr>
                <w:rFonts w:ascii="Georgia" w:hAnsi="Georgia"/>
                <w:szCs w:val="20"/>
              </w:rPr>
            </w:pPr>
          </w:p>
          <w:p w14:paraId="59970D92" w14:textId="77777777" w:rsidR="00607C7D" w:rsidRDefault="00276625" w:rsidP="00276625">
            <w:pPr>
              <w:rPr>
                <w:rFonts w:ascii="Georgia" w:hAnsi="Georgia"/>
                <w:szCs w:val="20"/>
              </w:rPr>
            </w:pPr>
            <w:r w:rsidRPr="00276625">
              <w:rPr>
                <w:rFonts w:ascii="Georgia" w:hAnsi="Georgia"/>
                <w:szCs w:val="20"/>
              </w:rPr>
              <w:t>If we are the bidding as a Firm with a sub-contracting agreement with another entity for specific TORs, what documentation do we need to provide for the sub-contracted entity in the EOI?</w:t>
            </w:r>
          </w:p>
          <w:p w14:paraId="12F08A96" w14:textId="77777777" w:rsidR="00276625" w:rsidRDefault="00276625" w:rsidP="00276625"/>
        </w:tc>
        <w:tc>
          <w:tcPr>
            <w:tcW w:w="5279" w:type="dxa"/>
          </w:tcPr>
          <w:p w14:paraId="7BAE72F8" w14:textId="77777777" w:rsidR="00014F3E" w:rsidRDefault="00014F3E" w:rsidP="00362200">
            <w:pPr>
              <w:rPr>
                <w:rFonts w:ascii="Georgia" w:hAnsi="Georgia"/>
                <w:szCs w:val="20"/>
              </w:rPr>
            </w:pPr>
          </w:p>
          <w:p w14:paraId="3101493A" w14:textId="16EB131D" w:rsidR="00362200" w:rsidRPr="00362200" w:rsidRDefault="008948D1" w:rsidP="00362200">
            <w:pPr>
              <w:rPr>
                <w:rFonts w:ascii="Georgia" w:hAnsi="Georgia"/>
                <w:szCs w:val="20"/>
              </w:rPr>
            </w:pPr>
            <w:r>
              <w:rPr>
                <w:rFonts w:ascii="Georgia" w:hAnsi="Georgia"/>
                <w:szCs w:val="20"/>
              </w:rPr>
              <w:t>Subcontracting will not be allowed</w:t>
            </w:r>
            <w:r w:rsidR="00742EDB">
              <w:rPr>
                <w:rFonts w:ascii="Georgia" w:hAnsi="Georgia"/>
                <w:szCs w:val="20"/>
              </w:rPr>
              <w:t>;</w:t>
            </w:r>
            <w:r>
              <w:rPr>
                <w:rFonts w:ascii="Georgia" w:hAnsi="Georgia"/>
                <w:szCs w:val="20"/>
              </w:rPr>
              <w:t xml:space="preserve"> the lead firm should bring the other entity as consortium partner</w:t>
            </w:r>
          </w:p>
        </w:tc>
      </w:tr>
      <w:tr w:rsidR="00607C7D" w14:paraId="173679AC" w14:textId="77777777" w:rsidTr="00FD019A">
        <w:trPr>
          <w:trHeight w:val="331"/>
        </w:trPr>
        <w:tc>
          <w:tcPr>
            <w:tcW w:w="988" w:type="dxa"/>
          </w:tcPr>
          <w:p w14:paraId="052D3470" w14:textId="77777777" w:rsidR="00276625" w:rsidRDefault="00276625" w:rsidP="00276625">
            <w:pPr>
              <w:jc w:val="center"/>
              <w:rPr>
                <w:rFonts w:ascii="Georgia" w:hAnsi="Georgia"/>
                <w:b/>
              </w:rPr>
            </w:pPr>
          </w:p>
          <w:p w14:paraId="32415932" w14:textId="77777777" w:rsidR="00607C7D" w:rsidRPr="00276625" w:rsidRDefault="00276625" w:rsidP="00276625">
            <w:pPr>
              <w:jc w:val="center"/>
              <w:rPr>
                <w:rFonts w:ascii="Georgia" w:hAnsi="Georgia"/>
                <w:b/>
              </w:rPr>
            </w:pPr>
            <w:r>
              <w:rPr>
                <w:rFonts w:ascii="Georgia" w:hAnsi="Georgia"/>
                <w:b/>
              </w:rPr>
              <w:t>4</w:t>
            </w:r>
          </w:p>
        </w:tc>
        <w:tc>
          <w:tcPr>
            <w:tcW w:w="6945" w:type="dxa"/>
          </w:tcPr>
          <w:p w14:paraId="1007A8F6" w14:textId="77777777" w:rsidR="00276625" w:rsidRDefault="00276625" w:rsidP="00607C7D">
            <w:pPr>
              <w:rPr>
                <w:rFonts w:ascii="Georgia" w:hAnsi="Georgia"/>
                <w:szCs w:val="20"/>
              </w:rPr>
            </w:pPr>
          </w:p>
          <w:p w14:paraId="10E99806" w14:textId="77777777" w:rsidR="00276625" w:rsidRPr="00276625" w:rsidRDefault="00276625" w:rsidP="00641071">
            <w:pPr>
              <w:rPr>
                <w:rFonts w:ascii="Georgia" w:hAnsi="Georgia"/>
                <w:szCs w:val="20"/>
              </w:rPr>
            </w:pPr>
            <w:r w:rsidRPr="00276625">
              <w:rPr>
                <w:rFonts w:ascii="Georgia" w:hAnsi="Georgia"/>
                <w:szCs w:val="20"/>
              </w:rPr>
              <w:t>In the project brief section, t</w:t>
            </w:r>
            <w:r w:rsidR="00641071">
              <w:rPr>
                <w:rFonts w:ascii="Georgia" w:hAnsi="Georgia"/>
                <w:szCs w:val="20"/>
              </w:rPr>
              <w:t>here is a</w:t>
            </w:r>
            <w:r>
              <w:rPr>
                <w:rFonts w:ascii="Georgia" w:hAnsi="Georgia"/>
                <w:szCs w:val="20"/>
              </w:rPr>
              <w:t xml:space="preserve"> </w:t>
            </w:r>
            <w:r w:rsidRPr="00276625">
              <w:rPr>
                <w:rFonts w:ascii="Georgia" w:hAnsi="Georgia"/>
                <w:szCs w:val="20"/>
              </w:rPr>
              <w:t>ask about the financial capability of the bidding entity – could you please elaborate on what you mean by this?</w:t>
            </w:r>
          </w:p>
        </w:tc>
        <w:tc>
          <w:tcPr>
            <w:tcW w:w="5279" w:type="dxa"/>
          </w:tcPr>
          <w:p w14:paraId="6E7D84DC" w14:textId="77777777" w:rsidR="00014F3E" w:rsidRDefault="00014F3E" w:rsidP="00276625">
            <w:pPr>
              <w:rPr>
                <w:rFonts w:ascii="Georgia" w:hAnsi="Georgia"/>
                <w:szCs w:val="20"/>
              </w:rPr>
            </w:pPr>
          </w:p>
          <w:p w14:paraId="6C79C990" w14:textId="73E700D5" w:rsidR="00607C7D" w:rsidRPr="00362200" w:rsidRDefault="009B6DA1" w:rsidP="00276625">
            <w:pPr>
              <w:rPr>
                <w:rFonts w:ascii="Georgia" w:hAnsi="Georgia"/>
                <w:szCs w:val="20"/>
              </w:rPr>
            </w:pPr>
            <w:r>
              <w:rPr>
                <w:rFonts w:ascii="Georgia" w:hAnsi="Georgia"/>
                <w:szCs w:val="20"/>
              </w:rPr>
              <w:t xml:space="preserve">The financial capability can be reflected by the revenues of the </w:t>
            </w:r>
            <w:r w:rsidR="00C26889">
              <w:rPr>
                <w:rFonts w:ascii="Georgia" w:hAnsi="Georgia"/>
                <w:szCs w:val="20"/>
              </w:rPr>
              <w:t>bidder</w:t>
            </w:r>
            <w:r>
              <w:rPr>
                <w:rFonts w:ascii="Georgia" w:hAnsi="Georgia"/>
                <w:szCs w:val="20"/>
              </w:rPr>
              <w:t xml:space="preserve">, equity of the </w:t>
            </w:r>
            <w:r w:rsidR="00C26889">
              <w:rPr>
                <w:rFonts w:ascii="Georgia" w:hAnsi="Georgia"/>
                <w:szCs w:val="20"/>
              </w:rPr>
              <w:t>bidder</w:t>
            </w:r>
            <w:r>
              <w:rPr>
                <w:rFonts w:ascii="Georgia" w:hAnsi="Georgia"/>
                <w:szCs w:val="20"/>
              </w:rPr>
              <w:t xml:space="preserve"> and/or contract size of previous assignments.</w:t>
            </w:r>
          </w:p>
        </w:tc>
      </w:tr>
      <w:tr w:rsidR="003D5F49" w14:paraId="376FDF8C" w14:textId="77777777" w:rsidTr="007A5DD1">
        <w:trPr>
          <w:trHeight w:val="2400"/>
        </w:trPr>
        <w:tc>
          <w:tcPr>
            <w:tcW w:w="988" w:type="dxa"/>
          </w:tcPr>
          <w:p w14:paraId="1FE685BE" w14:textId="77777777" w:rsidR="00BC63B1" w:rsidRDefault="00BC63B1" w:rsidP="00276625">
            <w:pPr>
              <w:jc w:val="center"/>
              <w:rPr>
                <w:rFonts w:ascii="Georgia" w:hAnsi="Georgia"/>
                <w:b/>
              </w:rPr>
            </w:pPr>
          </w:p>
          <w:p w14:paraId="69A57DB9" w14:textId="77777777" w:rsidR="00BC63B1" w:rsidRDefault="00BC63B1" w:rsidP="00276625">
            <w:pPr>
              <w:jc w:val="center"/>
              <w:rPr>
                <w:rFonts w:ascii="Georgia" w:hAnsi="Georgia"/>
                <w:b/>
              </w:rPr>
            </w:pPr>
          </w:p>
          <w:p w14:paraId="0CD508CA" w14:textId="77777777" w:rsidR="00BC63B1" w:rsidRDefault="00BC63B1" w:rsidP="00276625">
            <w:pPr>
              <w:jc w:val="center"/>
              <w:rPr>
                <w:rFonts w:ascii="Georgia" w:hAnsi="Georgia"/>
                <w:b/>
              </w:rPr>
            </w:pPr>
          </w:p>
          <w:p w14:paraId="63BED40B" w14:textId="77777777" w:rsidR="003D5F49" w:rsidRPr="00276625" w:rsidRDefault="00641071" w:rsidP="00276625">
            <w:pPr>
              <w:jc w:val="center"/>
              <w:rPr>
                <w:rFonts w:ascii="Georgia" w:hAnsi="Georgia"/>
                <w:b/>
              </w:rPr>
            </w:pPr>
            <w:r>
              <w:rPr>
                <w:rFonts w:ascii="Georgia" w:hAnsi="Georgia"/>
                <w:b/>
              </w:rPr>
              <w:t xml:space="preserve">5 </w:t>
            </w:r>
          </w:p>
        </w:tc>
        <w:tc>
          <w:tcPr>
            <w:tcW w:w="6945" w:type="dxa"/>
          </w:tcPr>
          <w:p w14:paraId="2AD99FB6" w14:textId="77777777" w:rsidR="00BC63B1" w:rsidRDefault="00BC63B1" w:rsidP="003D5F49">
            <w:pPr>
              <w:pStyle w:val="m4984634491133798719gmail-m-2409760242482145453m-2111759069146036849msolistparagraph"/>
              <w:shd w:val="clear" w:color="auto" w:fill="FFFFFF"/>
              <w:rPr>
                <w:rFonts w:ascii="Georgia" w:eastAsiaTheme="minorHAnsi" w:hAnsi="Georgia" w:cstheme="minorBidi"/>
                <w:sz w:val="22"/>
                <w:szCs w:val="20"/>
              </w:rPr>
            </w:pPr>
          </w:p>
          <w:p w14:paraId="59EDED39" w14:textId="4582A4AF" w:rsidR="00BC63B1" w:rsidRPr="007A5DD1" w:rsidRDefault="00BC63B1" w:rsidP="003D5F49">
            <w:pPr>
              <w:pStyle w:val="m4984634491133798719gmail-m-2409760242482145453m-2111759069146036849msolistparagraph"/>
              <w:shd w:val="clear" w:color="auto" w:fill="FFFFFF"/>
              <w:rPr>
                <w:rFonts w:ascii="Georgia" w:eastAsiaTheme="minorHAnsi" w:hAnsi="Georgia" w:cstheme="minorBidi"/>
                <w:sz w:val="22"/>
                <w:szCs w:val="20"/>
              </w:rPr>
            </w:pPr>
            <w:r w:rsidRPr="00BC63B1">
              <w:rPr>
                <w:rFonts w:ascii="Georgia" w:eastAsiaTheme="minorHAnsi" w:hAnsi="Georgia" w:cstheme="minorBidi"/>
                <w:sz w:val="22"/>
                <w:szCs w:val="20"/>
              </w:rPr>
              <w:t>In Phase 1 of the TORs, a number of areas for analysis are mentioned such as sector size, entity type wise capital requirements and key sectoral challenges etc. We would like to clarify if and to what extent does K</w:t>
            </w:r>
            <w:r>
              <w:rPr>
                <w:rFonts w:ascii="Georgia" w:eastAsiaTheme="minorHAnsi" w:hAnsi="Georgia" w:cstheme="minorBidi"/>
                <w:sz w:val="22"/>
                <w:szCs w:val="20"/>
              </w:rPr>
              <w:t>arandaaz</w:t>
            </w:r>
            <w:r w:rsidRPr="00BC63B1">
              <w:rPr>
                <w:rFonts w:ascii="Georgia" w:eastAsiaTheme="minorHAnsi" w:hAnsi="Georgia" w:cstheme="minorBidi"/>
                <w:sz w:val="22"/>
                <w:szCs w:val="20"/>
              </w:rPr>
              <w:t xml:space="preserve"> expect primary research on these areas given the fact that a fair amount</w:t>
            </w:r>
            <w:r>
              <w:rPr>
                <w:rFonts w:ascii="Arial" w:hAnsi="Arial" w:cs="Arial"/>
                <w:color w:val="222222"/>
                <w:shd w:val="clear" w:color="auto" w:fill="FFFFFF"/>
              </w:rPr>
              <w:t xml:space="preserve"> </w:t>
            </w:r>
            <w:r w:rsidRPr="00BC63B1">
              <w:rPr>
                <w:rFonts w:ascii="Georgia" w:eastAsiaTheme="minorHAnsi" w:hAnsi="Georgia" w:cstheme="minorBidi"/>
                <w:sz w:val="22"/>
                <w:szCs w:val="20"/>
              </w:rPr>
              <w:t>of information on these topics is available through reports/ surveys by SBP, IFC etc. for example the WB Enterprise Survey. This will among other things have budget considerations.</w:t>
            </w:r>
          </w:p>
        </w:tc>
        <w:tc>
          <w:tcPr>
            <w:tcW w:w="5279" w:type="dxa"/>
          </w:tcPr>
          <w:p w14:paraId="605ED3FF" w14:textId="77777777" w:rsidR="00014F3E" w:rsidRDefault="00014F3E" w:rsidP="009B6DA1">
            <w:pPr>
              <w:rPr>
                <w:rFonts w:ascii="Georgia" w:hAnsi="Georgia"/>
                <w:szCs w:val="20"/>
              </w:rPr>
            </w:pPr>
          </w:p>
          <w:p w14:paraId="30F7C304" w14:textId="77777777" w:rsidR="00014F3E" w:rsidRDefault="00014F3E" w:rsidP="009B6DA1">
            <w:pPr>
              <w:rPr>
                <w:rFonts w:ascii="Georgia" w:hAnsi="Georgia"/>
                <w:szCs w:val="20"/>
              </w:rPr>
            </w:pPr>
          </w:p>
          <w:p w14:paraId="2C014114" w14:textId="77777777" w:rsidR="00014F3E" w:rsidRDefault="00014F3E" w:rsidP="009B6DA1">
            <w:pPr>
              <w:rPr>
                <w:rFonts w:ascii="Georgia" w:hAnsi="Georgia"/>
                <w:szCs w:val="20"/>
              </w:rPr>
            </w:pPr>
          </w:p>
          <w:p w14:paraId="17B28A49" w14:textId="4D971C1F" w:rsidR="003D5F49" w:rsidRDefault="007A5DD1" w:rsidP="009B6DA1">
            <w:r w:rsidRPr="00646E7C">
              <w:rPr>
                <w:rFonts w:ascii="Georgia" w:hAnsi="Georgia"/>
                <w:szCs w:val="20"/>
              </w:rPr>
              <w:t xml:space="preserve">Primary research </w:t>
            </w:r>
            <w:r w:rsidR="009B6DA1">
              <w:rPr>
                <w:rFonts w:ascii="Georgia" w:hAnsi="Georgia"/>
                <w:szCs w:val="20"/>
              </w:rPr>
              <w:t>may</w:t>
            </w:r>
            <w:r w:rsidR="009B6DA1" w:rsidRPr="00646E7C">
              <w:rPr>
                <w:rFonts w:ascii="Georgia" w:hAnsi="Georgia"/>
                <w:szCs w:val="20"/>
              </w:rPr>
              <w:t xml:space="preserve"> </w:t>
            </w:r>
            <w:r w:rsidRPr="00646E7C">
              <w:rPr>
                <w:rFonts w:ascii="Georgia" w:hAnsi="Georgia"/>
                <w:szCs w:val="20"/>
              </w:rPr>
              <w:t>be proposed for verifying and updating secondary information already available</w:t>
            </w:r>
            <w:r w:rsidR="008948D1">
              <w:rPr>
                <w:rFonts w:ascii="Georgia" w:hAnsi="Georgia"/>
                <w:szCs w:val="20"/>
              </w:rPr>
              <w:t xml:space="preserve">, if </w:t>
            </w:r>
            <w:r w:rsidR="009B6DA1">
              <w:rPr>
                <w:rFonts w:ascii="Georgia" w:hAnsi="Georgia"/>
                <w:szCs w:val="20"/>
              </w:rPr>
              <w:t>in your view it is essential</w:t>
            </w:r>
            <w:r w:rsidRPr="00646E7C">
              <w:rPr>
                <w:rFonts w:ascii="Georgia" w:hAnsi="Georgia"/>
                <w:szCs w:val="20"/>
              </w:rPr>
              <w:t xml:space="preserve">. </w:t>
            </w:r>
          </w:p>
        </w:tc>
      </w:tr>
      <w:tr w:rsidR="00AF2AA2" w14:paraId="71A40B35" w14:textId="77777777" w:rsidTr="00FD019A">
        <w:trPr>
          <w:trHeight w:val="331"/>
        </w:trPr>
        <w:tc>
          <w:tcPr>
            <w:tcW w:w="988" w:type="dxa"/>
          </w:tcPr>
          <w:p w14:paraId="59DFCD35" w14:textId="77777777" w:rsidR="00BC63B1" w:rsidRDefault="00BC63B1" w:rsidP="00276625">
            <w:pPr>
              <w:jc w:val="center"/>
              <w:rPr>
                <w:rFonts w:ascii="Georgia" w:hAnsi="Georgia"/>
                <w:b/>
              </w:rPr>
            </w:pPr>
          </w:p>
          <w:p w14:paraId="79D051CD" w14:textId="77777777" w:rsidR="00BC63B1" w:rsidRDefault="00BC63B1" w:rsidP="00276625">
            <w:pPr>
              <w:jc w:val="center"/>
              <w:rPr>
                <w:rFonts w:ascii="Georgia" w:hAnsi="Georgia"/>
                <w:b/>
              </w:rPr>
            </w:pPr>
          </w:p>
          <w:p w14:paraId="47DF26B9" w14:textId="77777777" w:rsidR="00BC63B1" w:rsidRDefault="00BC63B1" w:rsidP="00276625">
            <w:pPr>
              <w:jc w:val="center"/>
              <w:rPr>
                <w:rFonts w:ascii="Georgia" w:hAnsi="Georgia"/>
                <w:b/>
              </w:rPr>
            </w:pPr>
          </w:p>
          <w:p w14:paraId="56DD6DC8" w14:textId="77777777" w:rsidR="00AF2AA2" w:rsidRPr="00276625" w:rsidRDefault="00641071" w:rsidP="00276625">
            <w:pPr>
              <w:jc w:val="center"/>
              <w:rPr>
                <w:rFonts w:ascii="Georgia" w:hAnsi="Georgia"/>
                <w:b/>
              </w:rPr>
            </w:pPr>
            <w:r>
              <w:rPr>
                <w:rFonts w:ascii="Georgia" w:hAnsi="Georgia"/>
                <w:b/>
              </w:rPr>
              <w:t>6</w:t>
            </w:r>
          </w:p>
        </w:tc>
        <w:tc>
          <w:tcPr>
            <w:tcW w:w="6945" w:type="dxa"/>
          </w:tcPr>
          <w:p w14:paraId="07C9850D" w14:textId="77777777" w:rsidR="00BC63B1" w:rsidRDefault="00BC63B1" w:rsidP="00BC63B1">
            <w:pPr>
              <w:pStyle w:val="m4984634491133798719gmail-m-2409760242482145453m-2111759069146036849msolistparagraph"/>
              <w:shd w:val="clear" w:color="auto" w:fill="FFFFFF"/>
              <w:rPr>
                <w:rFonts w:ascii="Georgia" w:eastAsiaTheme="minorHAnsi" w:hAnsi="Georgia" w:cstheme="minorBidi"/>
                <w:sz w:val="22"/>
                <w:szCs w:val="20"/>
              </w:rPr>
            </w:pPr>
          </w:p>
          <w:p w14:paraId="5901ECB5" w14:textId="77777777" w:rsidR="00AF2AA2" w:rsidRDefault="00BC63B1" w:rsidP="00BC63B1">
            <w:pPr>
              <w:pStyle w:val="m4984634491133798719gmail-m-2409760242482145453m-2111759069146036849msolistparagraph"/>
              <w:shd w:val="clear" w:color="auto" w:fill="FFFFFF"/>
              <w:rPr>
                <w:rFonts w:ascii="Georgia" w:eastAsiaTheme="minorHAnsi" w:hAnsi="Georgia" w:cstheme="minorBidi"/>
                <w:sz w:val="22"/>
                <w:szCs w:val="20"/>
              </w:rPr>
            </w:pPr>
            <w:r w:rsidRPr="00BC63B1">
              <w:rPr>
                <w:rFonts w:ascii="Georgia" w:eastAsiaTheme="minorHAnsi" w:hAnsi="Georgia" w:cstheme="minorBidi"/>
                <w:sz w:val="22"/>
                <w:szCs w:val="20"/>
              </w:rPr>
              <w:t>Secondly, the scope of work requires extensive on ground presence of experts. We’d like to clarify, if KRN is open to the idea of international experts working remotely on the project i.e. through video con. etc. Again this will have budget considerations.</w:t>
            </w:r>
          </w:p>
          <w:p w14:paraId="39E2C34E" w14:textId="77777777" w:rsidR="00BC63B1" w:rsidRPr="00D85D1D" w:rsidRDefault="00BC63B1" w:rsidP="00BC63B1">
            <w:pPr>
              <w:pStyle w:val="m4984634491133798719gmail-m-2409760242482145453m-2111759069146036849msolistparagraph"/>
              <w:shd w:val="clear" w:color="auto" w:fill="FFFFFF"/>
              <w:rPr>
                <w:rFonts w:ascii="Georgia" w:hAnsi="Georgia"/>
                <w:sz w:val="20"/>
                <w:szCs w:val="20"/>
              </w:rPr>
            </w:pPr>
          </w:p>
        </w:tc>
        <w:tc>
          <w:tcPr>
            <w:tcW w:w="5279" w:type="dxa"/>
          </w:tcPr>
          <w:p w14:paraId="472A60D3" w14:textId="77777777" w:rsidR="00014F3E" w:rsidRDefault="00014F3E" w:rsidP="009B6DA1">
            <w:pPr>
              <w:rPr>
                <w:rFonts w:ascii="Georgia" w:hAnsi="Georgia"/>
                <w:szCs w:val="20"/>
              </w:rPr>
            </w:pPr>
          </w:p>
          <w:p w14:paraId="3FD16036" w14:textId="77777777" w:rsidR="00014F3E" w:rsidRDefault="00014F3E" w:rsidP="009B6DA1">
            <w:pPr>
              <w:rPr>
                <w:rFonts w:ascii="Georgia" w:hAnsi="Georgia"/>
                <w:szCs w:val="20"/>
              </w:rPr>
            </w:pPr>
          </w:p>
          <w:p w14:paraId="4B6B6239" w14:textId="5348EDB1" w:rsidR="00AF2AA2" w:rsidRPr="0067521F" w:rsidRDefault="0067521F" w:rsidP="009B6DA1">
            <w:pPr>
              <w:rPr>
                <w:rFonts w:ascii="Georgia" w:hAnsi="Georgia"/>
                <w:sz w:val="20"/>
                <w:szCs w:val="20"/>
              </w:rPr>
            </w:pPr>
            <w:r w:rsidRPr="00646E7C">
              <w:rPr>
                <w:rFonts w:ascii="Georgia" w:hAnsi="Georgia"/>
                <w:szCs w:val="20"/>
              </w:rPr>
              <w:t xml:space="preserve">While </w:t>
            </w:r>
            <w:r w:rsidR="00646E7C" w:rsidRPr="00646E7C">
              <w:rPr>
                <w:rFonts w:ascii="Georgia" w:hAnsi="Georgia"/>
                <w:szCs w:val="20"/>
              </w:rPr>
              <w:t xml:space="preserve">experts may work remotely, a major consideration </w:t>
            </w:r>
            <w:r w:rsidR="009B6DA1">
              <w:rPr>
                <w:rFonts w:ascii="Georgia" w:hAnsi="Georgia"/>
                <w:szCs w:val="20"/>
              </w:rPr>
              <w:t xml:space="preserve">during evaluation </w:t>
            </w:r>
            <w:r w:rsidR="00646E7C" w:rsidRPr="00646E7C">
              <w:rPr>
                <w:rFonts w:ascii="Georgia" w:hAnsi="Georgia"/>
                <w:szCs w:val="20"/>
              </w:rPr>
              <w:t xml:space="preserve">will be </w:t>
            </w:r>
            <w:r w:rsidR="009B6DA1">
              <w:rPr>
                <w:rFonts w:ascii="Georgia" w:hAnsi="Georgia"/>
                <w:szCs w:val="20"/>
              </w:rPr>
              <w:t>the level of</w:t>
            </w:r>
            <w:r w:rsidR="009B6DA1" w:rsidRPr="00646E7C">
              <w:rPr>
                <w:rFonts w:ascii="Georgia" w:hAnsi="Georgia"/>
                <w:szCs w:val="20"/>
              </w:rPr>
              <w:t xml:space="preserve"> </w:t>
            </w:r>
            <w:r w:rsidR="00646E7C" w:rsidRPr="00646E7C">
              <w:rPr>
                <w:rFonts w:ascii="Georgia" w:hAnsi="Georgia"/>
                <w:szCs w:val="20"/>
              </w:rPr>
              <w:t>on-ground presence</w:t>
            </w:r>
            <w:r w:rsidR="009B6DA1">
              <w:rPr>
                <w:rFonts w:ascii="Georgia" w:hAnsi="Georgia"/>
                <w:szCs w:val="20"/>
              </w:rPr>
              <w:t xml:space="preserve"> in terms of number of days or presence during the meetings/updates.</w:t>
            </w:r>
            <w:r w:rsidR="00646E7C">
              <w:rPr>
                <w:rFonts w:ascii="Georgia" w:hAnsi="Georgia"/>
                <w:sz w:val="20"/>
                <w:szCs w:val="20"/>
              </w:rPr>
              <w:t xml:space="preserve">  </w:t>
            </w:r>
          </w:p>
        </w:tc>
      </w:tr>
      <w:tr w:rsidR="00641071" w14:paraId="68960A3E" w14:textId="77777777" w:rsidTr="00FD019A">
        <w:trPr>
          <w:trHeight w:val="331"/>
        </w:trPr>
        <w:tc>
          <w:tcPr>
            <w:tcW w:w="988" w:type="dxa"/>
          </w:tcPr>
          <w:p w14:paraId="3D4EDCAD" w14:textId="77777777" w:rsidR="00641071" w:rsidRDefault="005D60EC" w:rsidP="00276625">
            <w:pPr>
              <w:jc w:val="center"/>
              <w:rPr>
                <w:rFonts w:ascii="Georgia" w:hAnsi="Georgia"/>
                <w:b/>
              </w:rPr>
            </w:pPr>
            <w:r>
              <w:rPr>
                <w:rFonts w:ascii="Georgia" w:hAnsi="Georgia"/>
                <w:b/>
              </w:rPr>
              <w:t xml:space="preserve">7 </w:t>
            </w:r>
          </w:p>
        </w:tc>
        <w:tc>
          <w:tcPr>
            <w:tcW w:w="6945" w:type="dxa"/>
          </w:tcPr>
          <w:p w14:paraId="1574AC65" w14:textId="77777777" w:rsidR="00641071" w:rsidRPr="00D85D1D" w:rsidRDefault="005D60EC" w:rsidP="005D60EC">
            <w:pPr>
              <w:pStyle w:val="m4984634491133798719gmail-m-2409760242482145453m-2111759069146036849msolistparagraph"/>
              <w:shd w:val="clear" w:color="auto" w:fill="FFFFFF"/>
              <w:rPr>
                <w:rFonts w:ascii="Georgia" w:hAnsi="Georgia"/>
                <w:sz w:val="20"/>
                <w:szCs w:val="20"/>
              </w:rPr>
            </w:pPr>
            <w:r w:rsidRPr="005D60EC">
              <w:rPr>
                <w:rFonts w:ascii="Georgia" w:eastAsiaTheme="minorHAnsi" w:hAnsi="Georgia" w:cstheme="minorBidi"/>
                <w:sz w:val="22"/>
                <w:szCs w:val="20"/>
              </w:rPr>
              <w:t xml:space="preserve">What is the allocated budget for this </w:t>
            </w:r>
            <w:proofErr w:type="gramStart"/>
            <w:r w:rsidRPr="005D60EC">
              <w:rPr>
                <w:rFonts w:ascii="Georgia" w:eastAsiaTheme="minorHAnsi" w:hAnsi="Georgia" w:cstheme="minorBidi"/>
                <w:sz w:val="22"/>
                <w:szCs w:val="20"/>
              </w:rPr>
              <w:t>assignment.</w:t>
            </w:r>
            <w:proofErr w:type="gramEnd"/>
          </w:p>
        </w:tc>
        <w:tc>
          <w:tcPr>
            <w:tcW w:w="5279" w:type="dxa"/>
          </w:tcPr>
          <w:p w14:paraId="38066679" w14:textId="5827E8E6" w:rsidR="00641071" w:rsidRPr="00646E7C" w:rsidRDefault="009B6DA1" w:rsidP="00646E7C">
            <w:pPr>
              <w:rPr>
                <w:rFonts w:ascii="Georgia" w:hAnsi="Georgia"/>
                <w:szCs w:val="20"/>
              </w:rPr>
            </w:pPr>
            <w:r>
              <w:rPr>
                <w:rFonts w:ascii="Georgia" w:hAnsi="Georgia"/>
                <w:szCs w:val="20"/>
              </w:rPr>
              <w:t>The allocated budget will not be disclosed.</w:t>
            </w:r>
            <w:r w:rsidR="007127A0" w:rsidRPr="00646E7C">
              <w:rPr>
                <w:rFonts w:ascii="Georgia" w:hAnsi="Georgia"/>
                <w:szCs w:val="20"/>
              </w:rPr>
              <w:t xml:space="preserve"> </w:t>
            </w:r>
          </w:p>
        </w:tc>
      </w:tr>
      <w:tr w:rsidR="00641071" w14:paraId="48086E75" w14:textId="77777777" w:rsidTr="00FD019A">
        <w:trPr>
          <w:trHeight w:val="331"/>
        </w:trPr>
        <w:tc>
          <w:tcPr>
            <w:tcW w:w="988" w:type="dxa"/>
          </w:tcPr>
          <w:p w14:paraId="5F13E801" w14:textId="77777777" w:rsidR="00641071" w:rsidRDefault="00641071" w:rsidP="00276625">
            <w:pPr>
              <w:jc w:val="center"/>
              <w:rPr>
                <w:rFonts w:ascii="Georgia" w:hAnsi="Georgia"/>
                <w:b/>
              </w:rPr>
            </w:pPr>
          </w:p>
        </w:tc>
        <w:tc>
          <w:tcPr>
            <w:tcW w:w="6945" w:type="dxa"/>
          </w:tcPr>
          <w:p w14:paraId="19B85564" w14:textId="77777777" w:rsidR="00641071" w:rsidRPr="00D85D1D" w:rsidRDefault="00641071" w:rsidP="00D85D1D">
            <w:pPr>
              <w:rPr>
                <w:rFonts w:ascii="Georgia" w:hAnsi="Georgia"/>
                <w:sz w:val="20"/>
                <w:szCs w:val="20"/>
              </w:rPr>
            </w:pPr>
          </w:p>
        </w:tc>
        <w:tc>
          <w:tcPr>
            <w:tcW w:w="5279" w:type="dxa"/>
          </w:tcPr>
          <w:p w14:paraId="4FB0ADCD" w14:textId="77777777" w:rsidR="00641071" w:rsidRPr="00AF2AA2" w:rsidRDefault="00641071" w:rsidP="003D5F49">
            <w:pPr>
              <w:pStyle w:val="ListParagraph"/>
              <w:ind w:left="324"/>
              <w:rPr>
                <w:rFonts w:ascii="Georgia" w:hAnsi="Georgia"/>
                <w:sz w:val="20"/>
                <w:szCs w:val="20"/>
              </w:rPr>
            </w:pPr>
          </w:p>
        </w:tc>
      </w:tr>
    </w:tbl>
    <w:p w14:paraId="0682684E" w14:textId="77777777" w:rsidR="002B1020" w:rsidRDefault="002B1020" w:rsidP="00641071"/>
    <w:sectPr w:rsidR="002B1020" w:rsidSect="002B1020">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626"/>
    <w:multiLevelType w:val="multilevel"/>
    <w:tmpl w:val="E534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43E63"/>
    <w:multiLevelType w:val="multilevel"/>
    <w:tmpl w:val="5AA4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46791"/>
    <w:multiLevelType w:val="hybridMultilevel"/>
    <w:tmpl w:val="07A6B5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4458EC"/>
    <w:multiLevelType w:val="hybridMultilevel"/>
    <w:tmpl w:val="57DE50F2"/>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B672E"/>
    <w:multiLevelType w:val="hybridMultilevel"/>
    <w:tmpl w:val="2D1041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B0DB1"/>
    <w:multiLevelType w:val="hybridMultilevel"/>
    <w:tmpl w:val="44644160"/>
    <w:lvl w:ilvl="0" w:tplc="04090019">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6" w15:restartNumberingAfterBreak="0">
    <w:nsid w:val="32F93F4A"/>
    <w:multiLevelType w:val="hybridMultilevel"/>
    <w:tmpl w:val="6692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56D06"/>
    <w:multiLevelType w:val="hybridMultilevel"/>
    <w:tmpl w:val="9BE2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2A4DEF"/>
    <w:multiLevelType w:val="hybridMultilevel"/>
    <w:tmpl w:val="FB1E7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41364"/>
    <w:multiLevelType w:val="hybridMultilevel"/>
    <w:tmpl w:val="44644160"/>
    <w:lvl w:ilvl="0" w:tplc="04090019">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0" w15:restartNumberingAfterBreak="0">
    <w:nsid w:val="5BF20B36"/>
    <w:multiLevelType w:val="multilevel"/>
    <w:tmpl w:val="7B6C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E4082A"/>
    <w:multiLevelType w:val="hybridMultilevel"/>
    <w:tmpl w:val="D14AA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F78A8"/>
    <w:multiLevelType w:val="hybridMultilevel"/>
    <w:tmpl w:val="BC1AC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72E89"/>
    <w:multiLevelType w:val="hybridMultilevel"/>
    <w:tmpl w:val="E4DA28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663DB3"/>
    <w:multiLevelType w:val="hybridMultilevel"/>
    <w:tmpl w:val="E3DC3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92336"/>
    <w:multiLevelType w:val="hybridMultilevel"/>
    <w:tmpl w:val="44644160"/>
    <w:lvl w:ilvl="0" w:tplc="04090019">
      <w:start w:val="1"/>
      <w:numFmt w:val="lowerLetter"/>
      <w:lvlText w:val="%1."/>
      <w:lvlJc w:val="left"/>
      <w:pPr>
        <w:ind w:left="360"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6" w15:restartNumberingAfterBreak="0">
    <w:nsid w:val="76F20261"/>
    <w:multiLevelType w:val="hybridMultilevel"/>
    <w:tmpl w:val="07A6B5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4"/>
  </w:num>
  <w:num w:numId="3">
    <w:abstractNumId w:val="12"/>
  </w:num>
  <w:num w:numId="4">
    <w:abstractNumId w:val="8"/>
  </w:num>
  <w:num w:numId="5">
    <w:abstractNumId w:val="1"/>
  </w:num>
  <w:num w:numId="6">
    <w:abstractNumId w:val="13"/>
  </w:num>
  <w:num w:numId="7">
    <w:abstractNumId w:val="11"/>
  </w:num>
  <w:num w:numId="8">
    <w:abstractNumId w:val="16"/>
  </w:num>
  <w:num w:numId="9">
    <w:abstractNumId w:val="3"/>
  </w:num>
  <w:num w:numId="10">
    <w:abstractNumId w:val="6"/>
  </w:num>
  <w:num w:numId="11">
    <w:abstractNumId w:val="4"/>
  </w:num>
  <w:num w:numId="12">
    <w:abstractNumId w:val="2"/>
  </w:num>
  <w:num w:numId="13">
    <w:abstractNumId w:val="9"/>
  </w:num>
  <w:num w:numId="14">
    <w:abstractNumId w:val="7"/>
  </w:num>
  <w:num w:numId="15">
    <w:abstractNumId w:val="5"/>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20"/>
    <w:rsid w:val="0000456D"/>
    <w:rsid w:val="00014F3E"/>
    <w:rsid w:val="0002428A"/>
    <w:rsid w:val="00025C75"/>
    <w:rsid w:val="00036D4A"/>
    <w:rsid w:val="000C5FA4"/>
    <w:rsid w:val="001120DE"/>
    <w:rsid w:val="00162854"/>
    <w:rsid w:val="001B7530"/>
    <w:rsid w:val="001C44E8"/>
    <w:rsid w:val="001F2C5D"/>
    <w:rsid w:val="00267DF7"/>
    <w:rsid w:val="00276625"/>
    <w:rsid w:val="002B1020"/>
    <w:rsid w:val="00362200"/>
    <w:rsid w:val="003C08CA"/>
    <w:rsid w:val="003D5F49"/>
    <w:rsid w:val="00400824"/>
    <w:rsid w:val="0041563F"/>
    <w:rsid w:val="00433EC3"/>
    <w:rsid w:val="004827F4"/>
    <w:rsid w:val="00490563"/>
    <w:rsid w:val="00492001"/>
    <w:rsid w:val="00590F3A"/>
    <w:rsid w:val="005D60EC"/>
    <w:rsid w:val="00607C7D"/>
    <w:rsid w:val="00625FD1"/>
    <w:rsid w:val="00641071"/>
    <w:rsid w:val="00646E7C"/>
    <w:rsid w:val="00672B7D"/>
    <w:rsid w:val="0067521F"/>
    <w:rsid w:val="00693D50"/>
    <w:rsid w:val="006B14EE"/>
    <w:rsid w:val="007127A0"/>
    <w:rsid w:val="00742EDB"/>
    <w:rsid w:val="007A5DD1"/>
    <w:rsid w:val="0082126F"/>
    <w:rsid w:val="008948D1"/>
    <w:rsid w:val="008E4911"/>
    <w:rsid w:val="008F5E91"/>
    <w:rsid w:val="009B2CA8"/>
    <w:rsid w:val="009B6DA1"/>
    <w:rsid w:val="00A11DD6"/>
    <w:rsid w:val="00AF2AA2"/>
    <w:rsid w:val="00B118CF"/>
    <w:rsid w:val="00BC63B1"/>
    <w:rsid w:val="00C26889"/>
    <w:rsid w:val="00C3062F"/>
    <w:rsid w:val="00D85D1D"/>
    <w:rsid w:val="00DD0D48"/>
    <w:rsid w:val="00E03E6D"/>
    <w:rsid w:val="00FD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FCAF"/>
  <w15:chartTrackingRefBased/>
  <w15:docId w15:val="{8C565FEB-67E4-4301-B370-98754723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D01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Resume Title,Bullet List,FooterText,List with no spacing,List Paragraph1,HEAD 3,Bullets"/>
    <w:basedOn w:val="Normal"/>
    <w:link w:val="ListParagraphChar"/>
    <w:uiPriority w:val="34"/>
    <w:qFormat/>
    <w:rsid w:val="00FD019A"/>
    <w:pPr>
      <w:ind w:left="720"/>
      <w:contextualSpacing/>
    </w:pPr>
  </w:style>
  <w:style w:type="character" w:customStyle="1" w:styleId="Heading3Char">
    <w:name w:val="Heading 3 Char"/>
    <w:basedOn w:val="DefaultParagraphFont"/>
    <w:link w:val="Heading3"/>
    <w:uiPriority w:val="9"/>
    <w:rsid w:val="00FD019A"/>
    <w:rPr>
      <w:rFonts w:ascii="Times New Roman" w:eastAsia="Times New Roman" w:hAnsi="Times New Roman" w:cs="Times New Roman"/>
      <w:b/>
      <w:bCs/>
      <w:sz w:val="27"/>
      <w:szCs w:val="27"/>
    </w:rPr>
  </w:style>
  <w:style w:type="paragraph" w:customStyle="1" w:styleId="BankNormal">
    <w:name w:val="BankNormal"/>
    <w:basedOn w:val="Normal"/>
    <w:rsid w:val="00607C7D"/>
    <w:pPr>
      <w:spacing w:after="240" w:line="240" w:lineRule="auto"/>
    </w:pPr>
    <w:rPr>
      <w:rFonts w:ascii="Times New Roman" w:eastAsia="Times New Roman" w:hAnsi="Times New Roman" w:cs="Times New Roman"/>
      <w:sz w:val="24"/>
      <w:szCs w:val="20"/>
    </w:rPr>
  </w:style>
  <w:style w:type="character" w:customStyle="1" w:styleId="ListParagraphChar">
    <w:name w:val="List Paragraph Char"/>
    <w:aliases w:val="body text Char,Resume Title Char,Bullet List Char,FooterText Char,List with no spacing Char,List Paragraph1 Char,HEAD 3 Char,Bullets Char"/>
    <w:basedOn w:val="DefaultParagraphFont"/>
    <w:link w:val="ListParagraph"/>
    <w:uiPriority w:val="34"/>
    <w:locked/>
    <w:rsid w:val="001F2C5D"/>
  </w:style>
  <w:style w:type="paragraph" w:styleId="BalloonText">
    <w:name w:val="Balloon Text"/>
    <w:basedOn w:val="Normal"/>
    <w:link w:val="BalloonTextChar"/>
    <w:uiPriority w:val="99"/>
    <w:semiHidden/>
    <w:unhideWhenUsed/>
    <w:rsid w:val="00490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63"/>
    <w:rPr>
      <w:rFonts w:ascii="Segoe UI" w:hAnsi="Segoe UI" w:cs="Segoe UI"/>
      <w:sz w:val="18"/>
      <w:szCs w:val="18"/>
    </w:rPr>
  </w:style>
  <w:style w:type="paragraph" w:customStyle="1" w:styleId="m4984634491133798719gmail-m-2409760242482145453m-2111759069146036849msolistparagraph">
    <w:name w:val="m_4984634491133798719gmail-m_-2409760242482145453m_-2111759069146036849msolistparagraph"/>
    <w:basedOn w:val="Normal"/>
    <w:rsid w:val="003D5F4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20DE"/>
    <w:rPr>
      <w:sz w:val="16"/>
      <w:szCs w:val="16"/>
    </w:rPr>
  </w:style>
  <w:style w:type="paragraph" w:styleId="CommentText">
    <w:name w:val="annotation text"/>
    <w:basedOn w:val="Normal"/>
    <w:link w:val="CommentTextChar"/>
    <w:uiPriority w:val="99"/>
    <w:semiHidden/>
    <w:unhideWhenUsed/>
    <w:rsid w:val="001120DE"/>
    <w:pPr>
      <w:spacing w:line="240" w:lineRule="auto"/>
    </w:pPr>
    <w:rPr>
      <w:sz w:val="20"/>
      <w:szCs w:val="20"/>
    </w:rPr>
  </w:style>
  <w:style w:type="character" w:customStyle="1" w:styleId="CommentTextChar">
    <w:name w:val="Comment Text Char"/>
    <w:basedOn w:val="DefaultParagraphFont"/>
    <w:link w:val="CommentText"/>
    <w:uiPriority w:val="99"/>
    <w:semiHidden/>
    <w:rsid w:val="001120DE"/>
    <w:rPr>
      <w:sz w:val="20"/>
      <w:szCs w:val="20"/>
    </w:rPr>
  </w:style>
  <w:style w:type="paragraph" w:styleId="CommentSubject">
    <w:name w:val="annotation subject"/>
    <w:basedOn w:val="CommentText"/>
    <w:next w:val="CommentText"/>
    <w:link w:val="CommentSubjectChar"/>
    <w:uiPriority w:val="99"/>
    <w:semiHidden/>
    <w:unhideWhenUsed/>
    <w:rsid w:val="001120DE"/>
    <w:rPr>
      <w:b/>
      <w:bCs/>
    </w:rPr>
  </w:style>
  <w:style w:type="character" w:customStyle="1" w:styleId="CommentSubjectChar">
    <w:name w:val="Comment Subject Char"/>
    <w:basedOn w:val="CommentTextChar"/>
    <w:link w:val="CommentSubject"/>
    <w:uiPriority w:val="99"/>
    <w:semiHidden/>
    <w:rsid w:val="00112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4856">
      <w:bodyDiv w:val="1"/>
      <w:marLeft w:val="0"/>
      <w:marRight w:val="0"/>
      <w:marTop w:val="0"/>
      <w:marBottom w:val="0"/>
      <w:divBdr>
        <w:top w:val="none" w:sz="0" w:space="0" w:color="auto"/>
        <w:left w:val="none" w:sz="0" w:space="0" w:color="auto"/>
        <w:bottom w:val="none" w:sz="0" w:space="0" w:color="auto"/>
        <w:right w:val="none" w:sz="0" w:space="0" w:color="auto"/>
      </w:divBdr>
    </w:div>
    <w:div w:id="536967584">
      <w:bodyDiv w:val="1"/>
      <w:marLeft w:val="0"/>
      <w:marRight w:val="0"/>
      <w:marTop w:val="0"/>
      <w:marBottom w:val="0"/>
      <w:divBdr>
        <w:top w:val="none" w:sz="0" w:space="0" w:color="auto"/>
        <w:left w:val="none" w:sz="0" w:space="0" w:color="auto"/>
        <w:bottom w:val="none" w:sz="0" w:space="0" w:color="auto"/>
        <w:right w:val="none" w:sz="0" w:space="0" w:color="auto"/>
      </w:divBdr>
    </w:div>
    <w:div w:id="774178888">
      <w:bodyDiv w:val="1"/>
      <w:marLeft w:val="0"/>
      <w:marRight w:val="0"/>
      <w:marTop w:val="0"/>
      <w:marBottom w:val="0"/>
      <w:divBdr>
        <w:top w:val="none" w:sz="0" w:space="0" w:color="auto"/>
        <w:left w:val="none" w:sz="0" w:space="0" w:color="auto"/>
        <w:bottom w:val="none" w:sz="0" w:space="0" w:color="auto"/>
        <w:right w:val="none" w:sz="0" w:space="0" w:color="auto"/>
      </w:divBdr>
    </w:div>
    <w:div w:id="843322345">
      <w:bodyDiv w:val="1"/>
      <w:marLeft w:val="0"/>
      <w:marRight w:val="0"/>
      <w:marTop w:val="0"/>
      <w:marBottom w:val="0"/>
      <w:divBdr>
        <w:top w:val="none" w:sz="0" w:space="0" w:color="auto"/>
        <w:left w:val="none" w:sz="0" w:space="0" w:color="auto"/>
        <w:bottom w:val="none" w:sz="0" w:space="0" w:color="auto"/>
        <w:right w:val="none" w:sz="0" w:space="0" w:color="auto"/>
      </w:divBdr>
    </w:div>
    <w:div w:id="11481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0489-170A-4BD2-AD49-1E38CA08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dc:creator>
  <cp:keywords/>
  <dc:description/>
  <cp:lastModifiedBy>Ali Shah</cp:lastModifiedBy>
  <cp:revision>3</cp:revision>
  <cp:lastPrinted>2019-04-18T05:42:00Z</cp:lastPrinted>
  <dcterms:created xsi:type="dcterms:W3CDTF">2019-04-19T10:01:00Z</dcterms:created>
  <dcterms:modified xsi:type="dcterms:W3CDTF">2019-04-19T10:03:00Z</dcterms:modified>
</cp:coreProperties>
</file>